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283"/>
        <w:rPr/>
      </w:pPr>
      <w:r>
        <w:rPr/>
        <w:t>Comparative classifier analysis</w:t>
      </w:r>
    </w:p>
    <w:p>
      <w:pPr>
        <w:pStyle w:val="BodyText"/>
        <w:bidi w:val="0"/>
        <w:rPr/>
      </w:pPr>
      <w:r>
        <w:rPr/>
        <w:t>This study trains four classifier families with two feature conditions each. It preserves the previous model and reports every result, including alternatives that beat it. Model selection uses development data; the existing historical cohort is scored only after this round's settings are frozen.</w:t>
      </w:r>
    </w:p>
    <w:tbl>
      <w:tblPr>
        <w:tblW w:w="9225" w:type="dxa"/>
        <w:jc w:val="start"/>
        <w:tblInd w:w="0" w:type="dxa"/>
        <w:tblLayout w:type="fixed"/>
        <w:tblCellMar>
          <w:top w:w="28" w:type="dxa"/>
          <w:start w:w="28" w:type="dxa"/>
          <w:bottom w:w="28" w:type="dxa"/>
          <w:end w:w="28" w:type="dxa"/>
        </w:tblCellMar>
      </w:tblPr>
      <w:tblGrid>
        <w:gridCol w:w="2845"/>
        <w:gridCol w:w="1362"/>
        <w:gridCol w:w="1431"/>
        <w:gridCol w:w="1068"/>
        <w:gridCol w:w="665"/>
        <w:gridCol w:w="680"/>
        <w:gridCol w:w="1174"/>
      </w:tblGrid>
      <w:tr>
        <w:trPr>
          <w:tblHeader w:val="true"/>
        </w:trPr>
        <w:tc>
          <w:tcPr>
            <w:tcW w:w="2845" w:type="dxa"/>
            <w:tcBorders/>
            <w:vAlign w:val="center"/>
          </w:tcPr>
          <w:p>
            <w:pPr>
              <w:pStyle w:val="TableHeading"/>
              <w:suppressLineNumbers/>
              <w:bidi w:val="0"/>
              <w:spacing w:before="0" w:after="283"/>
              <w:jc w:val="center"/>
              <w:rPr/>
            </w:pPr>
            <w:r>
              <w:rPr/>
              <w:t>Method</w:t>
            </w:r>
          </w:p>
        </w:tc>
        <w:tc>
          <w:tcPr>
            <w:tcW w:w="1362" w:type="dxa"/>
            <w:tcBorders/>
            <w:vAlign w:val="center"/>
          </w:tcPr>
          <w:p>
            <w:pPr>
              <w:pStyle w:val="TableHeading"/>
              <w:suppressLineNumbers/>
              <w:bidi w:val="0"/>
              <w:spacing w:before="0" w:after="283"/>
              <w:jc w:val="center"/>
              <w:rPr/>
            </w:pPr>
            <w:r>
              <w:rPr/>
              <w:t>Features</w:t>
            </w:r>
          </w:p>
        </w:tc>
        <w:tc>
          <w:tcPr>
            <w:tcW w:w="1431" w:type="dxa"/>
            <w:tcBorders/>
            <w:vAlign w:val="center"/>
          </w:tcPr>
          <w:p>
            <w:pPr>
              <w:pStyle w:val="TableHeading"/>
              <w:suppressLineNumbers/>
              <w:bidi w:val="0"/>
              <w:spacing w:before="0" w:after="283"/>
              <w:jc w:val="center"/>
              <w:rPr/>
            </w:pPr>
            <w:r>
              <w:rPr/>
              <w:t>Precision %</w:t>
            </w:r>
          </w:p>
        </w:tc>
        <w:tc>
          <w:tcPr>
            <w:tcW w:w="1068" w:type="dxa"/>
            <w:tcBorders/>
            <w:vAlign w:val="center"/>
          </w:tcPr>
          <w:p>
            <w:pPr>
              <w:pStyle w:val="TableHeading"/>
              <w:suppressLineNumbers/>
              <w:bidi w:val="0"/>
              <w:spacing w:before="0" w:after="283"/>
              <w:jc w:val="center"/>
              <w:rPr/>
            </w:pPr>
            <w:r>
              <w:rPr/>
              <w:t>Recall %</w:t>
            </w:r>
          </w:p>
        </w:tc>
        <w:tc>
          <w:tcPr>
            <w:tcW w:w="665" w:type="dxa"/>
            <w:tcBorders/>
            <w:vAlign w:val="center"/>
          </w:tcPr>
          <w:p>
            <w:pPr>
              <w:pStyle w:val="TableHeading"/>
              <w:suppressLineNumbers/>
              <w:bidi w:val="0"/>
              <w:spacing w:before="0" w:after="283"/>
              <w:jc w:val="center"/>
              <w:rPr/>
            </w:pPr>
            <w:r>
              <w:rPr/>
              <w:t>F1 %</w:t>
            </w:r>
          </w:p>
        </w:tc>
        <w:tc>
          <w:tcPr>
            <w:tcW w:w="680" w:type="dxa"/>
            <w:tcBorders/>
            <w:vAlign w:val="center"/>
          </w:tcPr>
          <w:p>
            <w:pPr>
              <w:pStyle w:val="TableHeading"/>
              <w:suppressLineNumbers/>
              <w:bidi w:val="0"/>
              <w:spacing w:before="0" w:after="283"/>
              <w:jc w:val="center"/>
              <w:rPr/>
            </w:pPr>
            <w:r>
              <w:rPr/>
              <w:t>AP %</w:t>
            </w:r>
          </w:p>
        </w:tc>
        <w:tc>
          <w:tcPr>
            <w:tcW w:w="1174" w:type="dxa"/>
            <w:tcBorders/>
            <w:vAlign w:val="center"/>
          </w:tcPr>
          <w:p>
            <w:pPr>
              <w:pStyle w:val="TableHeading"/>
              <w:suppressLineNumbers/>
              <w:bidi w:val="0"/>
              <w:spacing w:before="0" w:after="283"/>
              <w:jc w:val="center"/>
              <w:rPr/>
            </w:pPr>
            <w:r>
              <w:rPr/>
              <w:t>Dev F1 %</w:t>
            </w:r>
          </w:p>
        </w:tc>
      </w:tr>
      <w:tr>
        <w:trPr/>
        <w:tc>
          <w:tcPr>
            <w:tcW w:w="2845" w:type="dxa"/>
            <w:tcBorders/>
            <w:vAlign w:val="center"/>
          </w:tcPr>
          <w:p>
            <w:pPr>
              <w:pStyle w:val="TableContents"/>
              <w:bidi w:val="0"/>
              <w:spacing w:before="0" w:after="283"/>
              <w:rPr/>
            </w:pPr>
            <w:r>
              <w:rPr/>
              <w:t>Frozen v2 reference</w:t>
            </w:r>
          </w:p>
        </w:tc>
        <w:tc>
          <w:tcPr>
            <w:tcW w:w="1362" w:type="dxa"/>
            <w:tcBorders/>
            <w:vAlign w:val="center"/>
          </w:tcPr>
          <w:p>
            <w:pPr>
              <w:pStyle w:val="TableContents"/>
              <w:bidi w:val="0"/>
              <w:spacing w:before="0" w:after="283"/>
              <w:rPr/>
            </w:pPr>
            <w:r>
              <w:rPr/>
              <w:t>Context ±40</w:t>
            </w:r>
          </w:p>
        </w:tc>
        <w:tc>
          <w:tcPr>
            <w:tcW w:w="1431" w:type="dxa"/>
            <w:tcBorders/>
            <w:vAlign w:val="center"/>
          </w:tcPr>
          <w:p>
            <w:pPr>
              <w:pStyle w:val="TableContents"/>
              <w:bidi w:val="0"/>
              <w:spacing w:before="0" w:after="283"/>
              <w:rPr/>
            </w:pPr>
            <w:r>
              <w:rPr/>
              <w:t>34.13</w:t>
            </w:r>
          </w:p>
        </w:tc>
        <w:tc>
          <w:tcPr>
            <w:tcW w:w="1068" w:type="dxa"/>
            <w:tcBorders/>
            <w:vAlign w:val="center"/>
          </w:tcPr>
          <w:p>
            <w:pPr>
              <w:pStyle w:val="TableContents"/>
              <w:bidi w:val="0"/>
              <w:spacing w:before="0" w:after="283"/>
              <w:rPr/>
            </w:pPr>
            <w:r>
              <w:rPr/>
              <w:t>90.12</w:t>
            </w:r>
          </w:p>
        </w:tc>
        <w:tc>
          <w:tcPr>
            <w:tcW w:w="665" w:type="dxa"/>
            <w:tcBorders/>
            <w:vAlign w:val="center"/>
          </w:tcPr>
          <w:p>
            <w:pPr>
              <w:pStyle w:val="TableContents"/>
              <w:bidi w:val="0"/>
              <w:spacing w:before="0" w:after="283"/>
              <w:rPr/>
            </w:pPr>
            <w:r>
              <w:rPr/>
              <w:t>49.51</w:t>
            </w:r>
          </w:p>
        </w:tc>
        <w:tc>
          <w:tcPr>
            <w:tcW w:w="680" w:type="dxa"/>
            <w:tcBorders/>
            <w:vAlign w:val="center"/>
          </w:tcPr>
          <w:p>
            <w:pPr>
              <w:pStyle w:val="TableContents"/>
              <w:bidi w:val="0"/>
              <w:spacing w:before="0" w:after="283"/>
              <w:rPr/>
            </w:pPr>
            <w:r>
              <w:rPr/>
              <w:t>56.99</w:t>
            </w:r>
          </w:p>
        </w:tc>
        <w:tc>
          <w:tcPr>
            <w:tcW w:w="1174" w:type="dxa"/>
            <w:tcBorders/>
            <w:vAlign w:val="center"/>
          </w:tcPr>
          <w:p>
            <w:pPr>
              <w:pStyle w:val="TableContents"/>
              <w:bidi w:val="0"/>
              <w:spacing w:before="0" w:after="283"/>
              <w:rPr/>
            </w:pPr>
            <w:r>
              <w:rPr/>
              <w:t>57.04</w:t>
            </w:r>
          </w:p>
        </w:tc>
      </w:tr>
      <w:tr>
        <w:trPr/>
        <w:tc>
          <w:tcPr>
            <w:tcW w:w="2845" w:type="dxa"/>
            <w:tcBorders/>
            <w:vAlign w:val="center"/>
          </w:tcPr>
          <w:p>
            <w:pPr>
              <w:pStyle w:val="TableContents"/>
              <w:bidi w:val="0"/>
              <w:spacing w:before="0" w:after="283"/>
              <w:rPr/>
            </w:pPr>
            <w:r>
              <w:rPr/>
              <w:t>Logistic regression</w:t>
            </w:r>
          </w:p>
        </w:tc>
        <w:tc>
          <w:tcPr>
            <w:tcW w:w="1362" w:type="dxa"/>
            <w:tcBorders/>
            <w:vAlign w:val="center"/>
          </w:tcPr>
          <w:p>
            <w:pPr>
              <w:pStyle w:val="TableContents"/>
              <w:bidi w:val="0"/>
              <w:spacing w:before="0" w:after="283"/>
              <w:rPr/>
            </w:pPr>
            <w:r>
              <w:rPr/>
              <w:t>Current act</w:t>
            </w:r>
          </w:p>
        </w:tc>
        <w:tc>
          <w:tcPr>
            <w:tcW w:w="1431" w:type="dxa"/>
            <w:tcBorders/>
            <w:vAlign w:val="center"/>
          </w:tcPr>
          <w:p>
            <w:pPr>
              <w:pStyle w:val="TableContents"/>
              <w:bidi w:val="0"/>
              <w:spacing w:before="0" w:after="283"/>
              <w:rPr/>
            </w:pPr>
            <w:r>
              <w:rPr/>
              <w:t>33.29</w:t>
            </w:r>
          </w:p>
        </w:tc>
        <w:tc>
          <w:tcPr>
            <w:tcW w:w="1068" w:type="dxa"/>
            <w:tcBorders/>
            <w:vAlign w:val="center"/>
          </w:tcPr>
          <w:p>
            <w:pPr>
              <w:pStyle w:val="TableContents"/>
              <w:bidi w:val="0"/>
              <w:spacing w:before="0" w:after="283"/>
              <w:rPr/>
            </w:pPr>
            <w:r>
              <w:rPr/>
              <w:t>91.98</w:t>
            </w:r>
          </w:p>
        </w:tc>
        <w:tc>
          <w:tcPr>
            <w:tcW w:w="665" w:type="dxa"/>
            <w:tcBorders/>
            <w:vAlign w:val="center"/>
          </w:tcPr>
          <w:p>
            <w:pPr>
              <w:pStyle w:val="TableContents"/>
              <w:bidi w:val="0"/>
              <w:spacing w:before="0" w:after="283"/>
              <w:rPr/>
            </w:pPr>
            <w:r>
              <w:rPr/>
              <w:t>48.89</w:t>
            </w:r>
          </w:p>
        </w:tc>
        <w:tc>
          <w:tcPr>
            <w:tcW w:w="680" w:type="dxa"/>
            <w:tcBorders/>
            <w:vAlign w:val="center"/>
          </w:tcPr>
          <w:p>
            <w:pPr>
              <w:pStyle w:val="TableContents"/>
              <w:bidi w:val="0"/>
              <w:spacing w:before="0" w:after="283"/>
              <w:rPr/>
            </w:pPr>
            <w:r>
              <w:rPr/>
              <w:t>50.82</w:t>
            </w:r>
          </w:p>
        </w:tc>
        <w:tc>
          <w:tcPr>
            <w:tcW w:w="1174" w:type="dxa"/>
            <w:tcBorders/>
            <w:vAlign w:val="center"/>
          </w:tcPr>
          <w:p>
            <w:pPr>
              <w:pStyle w:val="TableContents"/>
              <w:bidi w:val="0"/>
              <w:spacing w:before="0" w:after="283"/>
              <w:rPr/>
            </w:pPr>
            <w:r>
              <w:rPr/>
              <w:t>55.04</w:t>
            </w:r>
          </w:p>
        </w:tc>
      </w:tr>
      <w:tr>
        <w:trPr/>
        <w:tc>
          <w:tcPr>
            <w:tcW w:w="2845" w:type="dxa"/>
            <w:tcBorders/>
            <w:vAlign w:val="center"/>
          </w:tcPr>
          <w:p>
            <w:pPr>
              <w:pStyle w:val="TableContents"/>
              <w:bidi w:val="0"/>
              <w:spacing w:before="0" w:after="283"/>
              <w:rPr/>
            </w:pPr>
            <w:r>
              <w:rPr/>
              <w:t>Complement Naive Bayes</w:t>
            </w:r>
          </w:p>
        </w:tc>
        <w:tc>
          <w:tcPr>
            <w:tcW w:w="1362" w:type="dxa"/>
            <w:tcBorders/>
            <w:vAlign w:val="center"/>
          </w:tcPr>
          <w:p>
            <w:pPr>
              <w:pStyle w:val="TableContents"/>
              <w:bidi w:val="0"/>
              <w:spacing w:before="0" w:after="283"/>
              <w:rPr/>
            </w:pPr>
            <w:r>
              <w:rPr/>
              <w:t>Current act</w:t>
            </w:r>
          </w:p>
        </w:tc>
        <w:tc>
          <w:tcPr>
            <w:tcW w:w="1431" w:type="dxa"/>
            <w:tcBorders/>
            <w:vAlign w:val="center"/>
          </w:tcPr>
          <w:p>
            <w:pPr>
              <w:pStyle w:val="TableContents"/>
              <w:bidi w:val="0"/>
              <w:spacing w:before="0" w:after="283"/>
              <w:rPr/>
            </w:pPr>
            <w:r>
              <w:rPr/>
              <w:t>32.67</w:t>
            </w:r>
          </w:p>
        </w:tc>
        <w:tc>
          <w:tcPr>
            <w:tcW w:w="1068" w:type="dxa"/>
            <w:tcBorders/>
            <w:vAlign w:val="center"/>
          </w:tcPr>
          <w:p>
            <w:pPr>
              <w:pStyle w:val="TableContents"/>
              <w:bidi w:val="0"/>
              <w:spacing w:before="0" w:after="283"/>
              <w:rPr/>
            </w:pPr>
            <w:r>
              <w:rPr/>
              <w:t>91.01</w:t>
            </w:r>
          </w:p>
        </w:tc>
        <w:tc>
          <w:tcPr>
            <w:tcW w:w="665" w:type="dxa"/>
            <w:tcBorders/>
            <w:vAlign w:val="center"/>
          </w:tcPr>
          <w:p>
            <w:pPr>
              <w:pStyle w:val="TableContents"/>
              <w:bidi w:val="0"/>
              <w:spacing w:before="0" w:after="283"/>
              <w:rPr/>
            </w:pPr>
            <w:r>
              <w:rPr/>
              <w:t>48.08</w:t>
            </w:r>
          </w:p>
        </w:tc>
        <w:tc>
          <w:tcPr>
            <w:tcW w:w="680" w:type="dxa"/>
            <w:tcBorders/>
            <w:vAlign w:val="center"/>
          </w:tcPr>
          <w:p>
            <w:pPr>
              <w:pStyle w:val="TableContents"/>
              <w:bidi w:val="0"/>
              <w:spacing w:before="0" w:after="283"/>
              <w:rPr/>
            </w:pPr>
            <w:r>
              <w:rPr/>
              <w:t>48.35</w:t>
            </w:r>
          </w:p>
        </w:tc>
        <w:tc>
          <w:tcPr>
            <w:tcW w:w="1174" w:type="dxa"/>
            <w:tcBorders/>
            <w:vAlign w:val="center"/>
          </w:tcPr>
          <w:p>
            <w:pPr>
              <w:pStyle w:val="TableContents"/>
              <w:bidi w:val="0"/>
              <w:spacing w:before="0" w:after="283"/>
              <w:rPr/>
            </w:pPr>
            <w:r>
              <w:rPr/>
              <w:t>55.65</w:t>
            </w:r>
          </w:p>
        </w:tc>
      </w:tr>
      <w:tr>
        <w:trPr/>
        <w:tc>
          <w:tcPr>
            <w:tcW w:w="2845" w:type="dxa"/>
            <w:tcBorders/>
            <w:vAlign w:val="center"/>
          </w:tcPr>
          <w:p>
            <w:pPr>
              <w:pStyle w:val="TableContents"/>
              <w:bidi w:val="0"/>
              <w:spacing w:before="0" w:after="283"/>
              <w:rPr/>
            </w:pPr>
            <w:r>
              <w:rPr/>
              <w:t>Calibrated linear SVM</w:t>
            </w:r>
          </w:p>
        </w:tc>
        <w:tc>
          <w:tcPr>
            <w:tcW w:w="1362" w:type="dxa"/>
            <w:tcBorders/>
            <w:vAlign w:val="center"/>
          </w:tcPr>
          <w:p>
            <w:pPr>
              <w:pStyle w:val="TableContents"/>
              <w:bidi w:val="0"/>
              <w:spacing w:before="0" w:after="283"/>
              <w:rPr/>
            </w:pPr>
            <w:r>
              <w:rPr/>
              <w:t>Current act</w:t>
            </w:r>
          </w:p>
        </w:tc>
        <w:tc>
          <w:tcPr>
            <w:tcW w:w="1431" w:type="dxa"/>
            <w:tcBorders/>
            <w:vAlign w:val="center"/>
          </w:tcPr>
          <w:p>
            <w:pPr>
              <w:pStyle w:val="TableContents"/>
              <w:bidi w:val="0"/>
              <w:spacing w:before="0" w:after="283"/>
              <w:rPr/>
            </w:pPr>
            <w:r>
              <w:rPr/>
              <w:t>32.88</w:t>
            </w:r>
          </w:p>
        </w:tc>
        <w:tc>
          <w:tcPr>
            <w:tcW w:w="1068" w:type="dxa"/>
            <w:tcBorders/>
            <w:vAlign w:val="center"/>
          </w:tcPr>
          <w:p>
            <w:pPr>
              <w:pStyle w:val="TableContents"/>
              <w:bidi w:val="0"/>
              <w:spacing w:before="0" w:after="283"/>
              <w:rPr/>
            </w:pPr>
            <w:r>
              <w:rPr/>
              <w:t>91.13</w:t>
            </w:r>
          </w:p>
        </w:tc>
        <w:tc>
          <w:tcPr>
            <w:tcW w:w="665" w:type="dxa"/>
            <w:tcBorders/>
            <w:vAlign w:val="center"/>
          </w:tcPr>
          <w:p>
            <w:pPr>
              <w:pStyle w:val="TableContents"/>
              <w:bidi w:val="0"/>
              <w:spacing w:before="0" w:after="283"/>
              <w:rPr/>
            </w:pPr>
            <w:r>
              <w:rPr/>
              <w:t>48.33</w:t>
            </w:r>
          </w:p>
        </w:tc>
        <w:tc>
          <w:tcPr>
            <w:tcW w:w="680" w:type="dxa"/>
            <w:tcBorders/>
            <w:vAlign w:val="center"/>
          </w:tcPr>
          <w:p>
            <w:pPr>
              <w:pStyle w:val="TableContents"/>
              <w:bidi w:val="0"/>
              <w:spacing w:before="0" w:after="283"/>
              <w:rPr/>
            </w:pPr>
            <w:r>
              <w:rPr/>
              <w:t>49.27</w:t>
            </w:r>
          </w:p>
        </w:tc>
        <w:tc>
          <w:tcPr>
            <w:tcW w:w="1174" w:type="dxa"/>
            <w:tcBorders/>
            <w:vAlign w:val="center"/>
          </w:tcPr>
          <w:p>
            <w:pPr>
              <w:pStyle w:val="TableContents"/>
              <w:bidi w:val="0"/>
              <w:spacing w:before="0" w:after="283"/>
              <w:rPr/>
            </w:pPr>
            <w:r>
              <w:rPr/>
              <w:t>55.24</w:t>
            </w:r>
          </w:p>
        </w:tc>
      </w:tr>
      <w:tr>
        <w:trPr/>
        <w:tc>
          <w:tcPr>
            <w:tcW w:w="2845" w:type="dxa"/>
            <w:tcBorders/>
            <w:vAlign w:val="center"/>
          </w:tcPr>
          <w:p>
            <w:pPr>
              <w:pStyle w:val="TableContents"/>
              <w:bidi w:val="0"/>
              <w:spacing w:before="0" w:after="283"/>
              <w:rPr/>
            </w:pPr>
            <w:r>
              <w:rPr/>
              <w:t>Random forest</w:t>
            </w:r>
          </w:p>
        </w:tc>
        <w:tc>
          <w:tcPr>
            <w:tcW w:w="1362" w:type="dxa"/>
            <w:tcBorders/>
            <w:vAlign w:val="center"/>
          </w:tcPr>
          <w:p>
            <w:pPr>
              <w:pStyle w:val="TableContents"/>
              <w:bidi w:val="0"/>
              <w:spacing w:before="0" w:after="283"/>
              <w:rPr/>
            </w:pPr>
            <w:r>
              <w:rPr/>
              <w:t>Current act</w:t>
            </w:r>
          </w:p>
        </w:tc>
        <w:tc>
          <w:tcPr>
            <w:tcW w:w="1431" w:type="dxa"/>
            <w:tcBorders/>
            <w:vAlign w:val="center"/>
          </w:tcPr>
          <w:p>
            <w:pPr>
              <w:pStyle w:val="TableContents"/>
              <w:bidi w:val="0"/>
              <w:spacing w:before="0" w:after="283"/>
              <w:rPr/>
            </w:pPr>
            <w:r>
              <w:rPr/>
              <w:t>35.73</w:t>
            </w:r>
          </w:p>
        </w:tc>
        <w:tc>
          <w:tcPr>
            <w:tcW w:w="1068" w:type="dxa"/>
            <w:tcBorders/>
            <w:vAlign w:val="center"/>
          </w:tcPr>
          <w:p>
            <w:pPr>
              <w:pStyle w:val="TableContents"/>
              <w:bidi w:val="0"/>
              <w:spacing w:before="0" w:after="283"/>
              <w:rPr/>
            </w:pPr>
            <w:r>
              <w:rPr/>
              <w:t>84.72</w:t>
            </w:r>
          </w:p>
        </w:tc>
        <w:tc>
          <w:tcPr>
            <w:tcW w:w="665" w:type="dxa"/>
            <w:tcBorders/>
            <w:vAlign w:val="center"/>
          </w:tcPr>
          <w:p>
            <w:pPr>
              <w:pStyle w:val="TableContents"/>
              <w:bidi w:val="0"/>
              <w:spacing w:before="0" w:after="283"/>
              <w:rPr/>
            </w:pPr>
            <w:r>
              <w:rPr/>
              <w:t>50.26</w:t>
            </w:r>
          </w:p>
        </w:tc>
        <w:tc>
          <w:tcPr>
            <w:tcW w:w="680" w:type="dxa"/>
            <w:tcBorders/>
            <w:vAlign w:val="center"/>
          </w:tcPr>
          <w:p>
            <w:pPr>
              <w:pStyle w:val="TableContents"/>
              <w:bidi w:val="0"/>
              <w:spacing w:before="0" w:after="283"/>
              <w:rPr/>
            </w:pPr>
            <w:r>
              <w:rPr/>
              <w:t>49.91</w:t>
            </w:r>
          </w:p>
        </w:tc>
        <w:tc>
          <w:tcPr>
            <w:tcW w:w="1174" w:type="dxa"/>
            <w:tcBorders/>
            <w:vAlign w:val="center"/>
          </w:tcPr>
          <w:p>
            <w:pPr>
              <w:pStyle w:val="TableContents"/>
              <w:bidi w:val="0"/>
              <w:spacing w:before="0" w:after="283"/>
              <w:rPr/>
            </w:pPr>
            <w:r>
              <w:rPr/>
              <w:t>54.16</w:t>
            </w:r>
          </w:p>
        </w:tc>
      </w:tr>
      <w:tr>
        <w:trPr/>
        <w:tc>
          <w:tcPr>
            <w:tcW w:w="2845" w:type="dxa"/>
            <w:tcBorders/>
            <w:vAlign w:val="center"/>
          </w:tcPr>
          <w:p>
            <w:pPr>
              <w:pStyle w:val="TableContents"/>
              <w:bidi w:val="0"/>
              <w:spacing w:before="0" w:after="283"/>
              <w:rPr/>
            </w:pPr>
            <w:r>
              <w:rPr/>
              <w:t>Logistic regression</w:t>
            </w:r>
          </w:p>
        </w:tc>
        <w:tc>
          <w:tcPr>
            <w:tcW w:w="1362" w:type="dxa"/>
            <w:tcBorders/>
            <w:vAlign w:val="center"/>
          </w:tcPr>
          <w:p>
            <w:pPr>
              <w:pStyle w:val="TableContents"/>
              <w:bidi w:val="0"/>
              <w:spacing w:before="0" w:after="283"/>
              <w:rPr/>
            </w:pPr>
            <w:r>
              <w:rPr/>
              <w:t>Context ±40</w:t>
            </w:r>
          </w:p>
        </w:tc>
        <w:tc>
          <w:tcPr>
            <w:tcW w:w="1431" w:type="dxa"/>
            <w:tcBorders/>
            <w:vAlign w:val="center"/>
          </w:tcPr>
          <w:p>
            <w:pPr>
              <w:pStyle w:val="TableContents"/>
              <w:bidi w:val="0"/>
              <w:spacing w:before="0" w:after="283"/>
              <w:rPr/>
            </w:pPr>
            <w:r>
              <w:rPr/>
              <w:t>35.61</w:t>
            </w:r>
          </w:p>
        </w:tc>
        <w:tc>
          <w:tcPr>
            <w:tcW w:w="1068" w:type="dxa"/>
            <w:tcBorders/>
            <w:vAlign w:val="center"/>
          </w:tcPr>
          <w:p>
            <w:pPr>
              <w:pStyle w:val="TableContents"/>
              <w:bidi w:val="0"/>
              <w:spacing w:before="0" w:after="283"/>
              <w:rPr/>
            </w:pPr>
            <w:r>
              <w:rPr/>
              <w:t>87.38</w:t>
            </w:r>
          </w:p>
        </w:tc>
        <w:tc>
          <w:tcPr>
            <w:tcW w:w="665" w:type="dxa"/>
            <w:tcBorders/>
            <w:vAlign w:val="center"/>
          </w:tcPr>
          <w:p>
            <w:pPr>
              <w:pStyle w:val="TableContents"/>
              <w:bidi w:val="0"/>
              <w:spacing w:before="0" w:after="283"/>
              <w:rPr/>
            </w:pPr>
            <w:r>
              <w:rPr/>
              <w:t>50.60</w:t>
            </w:r>
          </w:p>
        </w:tc>
        <w:tc>
          <w:tcPr>
            <w:tcW w:w="680" w:type="dxa"/>
            <w:tcBorders/>
            <w:vAlign w:val="center"/>
          </w:tcPr>
          <w:p>
            <w:pPr>
              <w:pStyle w:val="TableContents"/>
              <w:bidi w:val="0"/>
              <w:spacing w:before="0" w:after="283"/>
              <w:rPr/>
            </w:pPr>
            <w:r>
              <w:rPr/>
              <w:t>56.99</w:t>
            </w:r>
          </w:p>
        </w:tc>
        <w:tc>
          <w:tcPr>
            <w:tcW w:w="1174" w:type="dxa"/>
            <w:tcBorders/>
            <w:vAlign w:val="center"/>
          </w:tcPr>
          <w:p>
            <w:pPr>
              <w:pStyle w:val="TableContents"/>
              <w:bidi w:val="0"/>
              <w:spacing w:before="0" w:after="283"/>
              <w:rPr/>
            </w:pPr>
            <w:r>
              <w:rPr/>
              <w:t>57.05</w:t>
            </w:r>
          </w:p>
        </w:tc>
      </w:tr>
      <w:tr>
        <w:trPr/>
        <w:tc>
          <w:tcPr>
            <w:tcW w:w="2845" w:type="dxa"/>
            <w:tcBorders/>
            <w:vAlign w:val="center"/>
          </w:tcPr>
          <w:p>
            <w:pPr>
              <w:pStyle w:val="TableContents"/>
              <w:bidi w:val="0"/>
              <w:spacing w:before="0" w:after="283"/>
              <w:rPr/>
            </w:pPr>
            <w:r>
              <w:rPr/>
              <w:t>Complement Naive Bayes</w:t>
            </w:r>
          </w:p>
        </w:tc>
        <w:tc>
          <w:tcPr>
            <w:tcW w:w="1362" w:type="dxa"/>
            <w:tcBorders/>
            <w:vAlign w:val="center"/>
          </w:tcPr>
          <w:p>
            <w:pPr>
              <w:pStyle w:val="TableContents"/>
              <w:bidi w:val="0"/>
              <w:spacing w:before="0" w:after="283"/>
              <w:rPr/>
            </w:pPr>
            <w:r>
              <w:rPr/>
              <w:t>Context ±40</w:t>
            </w:r>
          </w:p>
        </w:tc>
        <w:tc>
          <w:tcPr>
            <w:tcW w:w="1431" w:type="dxa"/>
            <w:tcBorders/>
            <w:vAlign w:val="center"/>
          </w:tcPr>
          <w:p>
            <w:pPr>
              <w:pStyle w:val="TableContents"/>
              <w:bidi w:val="0"/>
              <w:spacing w:before="0" w:after="283"/>
              <w:rPr/>
            </w:pPr>
            <w:r>
              <w:rPr/>
              <w:t>31.60</w:t>
            </w:r>
          </w:p>
        </w:tc>
        <w:tc>
          <w:tcPr>
            <w:tcW w:w="1068" w:type="dxa"/>
            <w:tcBorders/>
            <w:vAlign w:val="center"/>
          </w:tcPr>
          <w:p>
            <w:pPr>
              <w:pStyle w:val="TableContents"/>
              <w:bidi w:val="0"/>
              <w:spacing w:before="0" w:after="283"/>
              <w:rPr/>
            </w:pPr>
            <w:r>
              <w:rPr/>
              <w:t>92.58</w:t>
            </w:r>
          </w:p>
        </w:tc>
        <w:tc>
          <w:tcPr>
            <w:tcW w:w="665" w:type="dxa"/>
            <w:tcBorders/>
            <w:vAlign w:val="center"/>
          </w:tcPr>
          <w:p>
            <w:pPr>
              <w:pStyle w:val="TableContents"/>
              <w:bidi w:val="0"/>
              <w:spacing w:before="0" w:after="283"/>
              <w:rPr/>
            </w:pPr>
            <w:r>
              <w:rPr/>
              <w:t>47.12</w:t>
            </w:r>
          </w:p>
        </w:tc>
        <w:tc>
          <w:tcPr>
            <w:tcW w:w="680" w:type="dxa"/>
            <w:tcBorders/>
            <w:vAlign w:val="center"/>
          </w:tcPr>
          <w:p>
            <w:pPr>
              <w:pStyle w:val="TableContents"/>
              <w:bidi w:val="0"/>
              <w:spacing w:before="0" w:after="283"/>
              <w:rPr/>
            </w:pPr>
            <w:r>
              <w:rPr/>
              <w:t>57.65</w:t>
            </w:r>
          </w:p>
        </w:tc>
        <w:tc>
          <w:tcPr>
            <w:tcW w:w="1174" w:type="dxa"/>
            <w:tcBorders/>
            <w:vAlign w:val="center"/>
          </w:tcPr>
          <w:p>
            <w:pPr>
              <w:pStyle w:val="TableContents"/>
              <w:bidi w:val="0"/>
              <w:spacing w:before="0" w:after="283"/>
              <w:rPr/>
            </w:pPr>
            <w:r>
              <w:rPr/>
              <w:t>55.71</w:t>
            </w:r>
          </w:p>
        </w:tc>
      </w:tr>
      <w:tr>
        <w:trPr/>
        <w:tc>
          <w:tcPr>
            <w:tcW w:w="2845" w:type="dxa"/>
            <w:tcBorders/>
            <w:vAlign w:val="center"/>
          </w:tcPr>
          <w:p>
            <w:pPr>
              <w:pStyle w:val="TableContents"/>
              <w:bidi w:val="0"/>
              <w:spacing w:before="0" w:after="283"/>
              <w:rPr/>
            </w:pPr>
            <w:r>
              <w:rPr/>
              <w:t>Calibrated linear SVM</w:t>
            </w:r>
          </w:p>
        </w:tc>
        <w:tc>
          <w:tcPr>
            <w:tcW w:w="1362" w:type="dxa"/>
            <w:tcBorders/>
            <w:vAlign w:val="center"/>
          </w:tcPr>
          <w:p>
            <w:pPr>
              <w:pStyle w:val="TableContents"/>
              <w:bidi w:val="0"/>
              <w:spacing w:before="0" w:after="283"/>
              <w:rPr/>
            </w:pPr>
            <w:r>
              <w:rPr/>
              <w:t>Context ±40</w:t>
            </w:r>
          </w:p>
        </w:tc>
        <w:tc>
          <w:tcPr>
            <w:tcW w:w="1431" w:type="dxa"/>
            <w:tcBorders/>
            <w:vAlign w:val="center"/>
          </w:tcPr>
          <w:p>
            <w:pPr>
              <w:pStyle w:val="TableContents"/>
              <w:bidi w:val="0"/>
              <w:spacing w:before="0" w:after="283"/>
              <w:rPr/>
            </w:pPr>
            <w:r>
              <w:rPr/>
              <w:t>35.04</w:t>
            </w:r>
          </w:p>
        </w:tc>
        <w:tc>
          <w:tcPr>
            <w:tcW w:w="1068" w:type="dxa"/>
            <w:tcBorders/>
            <w:vAlign w:val="center"/>
          </w:tcPr>
          <w:p>
            <w:pPr>
              <w:pStyle w:val="TableContents"/>
              <w:bidi w:val="0"/>
              <w:spacing w:before="0" w:after="283"/>
              <w:rPr/>
            </w:pPr>
            <w:r>
              <w:rPr/>
              <w:t>90.25</w:t>
            </w:r>
          </w:p>
        </w:tc>
        <w:tc>
          <w:tcPr>
            <w:tcW w:w="665" w:type="dxa"/>
            <w:tcBorders/>
            <w:vAlign w:val="center"/>
          </w:tcPr>
          <w:p>
            <w:pPr>
              <w:pStyle w:val="TableContents"/>
              <w:bidi w:val="0"/>
              <w:spacing w:before="0" w:after="283"/>
              <w:rPr/>
            </w:pPr>
            <w:r>
              <w:rPr/>
              <w:t>50.48</w:t>
            </w:r>
          </w:p>
        </w:tc>
        <w:tc>
          <w:tcPr>
            <w:tcW w:w="680" w:type="dxa"/>
            <w:tcBorders/>
            <w:vAlign w:val="center"/>
          </w:tcPr>
          <w:p>
            <w:pPr>
              <w:pStyle w:val="TableContents"/>
              <w:bidi w:val="0"/>
              <w:spacing w:before="0" w:after="283"/>
              <w:rPr/>
            </w:pPr>
            <w:r>
              <w:rPr/>
              <w:t>53.38</w:t>
            </w:r>
          </w:p>
        </w:tc>
        <w:tc>
          <w:tcPr>
            <w:tcW w:w="1174" w:type="dxa"/>
            <w:tcBorders/>
            <w:vAlign w:val="center"/>
          </w:tcPr>
          <w:p>
            <w:pPr>
              <w:pStyle w:val="TableContents"/>
              <w:bidi w:val="0"/>
              <w:spacing w:before="0" w:after="283"/>
              <w:rPr/>
            </w:pPr>
            <w:r>
              <w:rPr/>
              <w:t>55.78</w:t>
            </w:r>
          </w:p>
        </w:tc>
      </w:tr>
      <w:tr>
        <w:trPr/>
        <w:tc>
          <w:tcPr>
            <w:tcW w:w="2845" w:type="dxa"/>
            <w:tcBorders/>
            <w:vAlign w:val="center"/>
          </w:tcPr>
          <w:p>
            <w:pPr>
              <w:pStyle w:val="TableContents"/>
              <w:bidi w:val="0"/>
              <w:spacing w:before="0" w:after="283"/>
              <w:rPr/>
            </w:pPr>
            <w:r>
              <w:rPr/>
              <w:t>Random forest</w:t>
            </w:r>
          </w:p>
        </w:tc>
        <w:tc>
          <w:tcPr>
            <w:tcW w:w="1362" w:type="dxa"/>
            <w:tcBorders/>
            <w:vAlign w:val="center"/>
          </w:tcPr>
          <w:p>
            <w:pPr>
              <w:pStyle w:val="TableContents"/>
              <w:bidi w:val="0"/>
              <w:spacing w:before="0" w:after="283"/>
              <w:rPr/>
            </w:pPr>
            <w:r>
              <w:rPr/>
              <w:t>Context ±40</w:t>
            </w:r>
          </w:p>
        </w:tc>
        <w:tc>
          <w:tcPr>
            <w:tcW w:w="1431" w:type="dxa"/>
            <w:tcBorders/>
            <w:vAlign w:val="center"/>
          </w:tcPr>
          <w:p>
            <w:pPr>
              <w:pStyle w:val="TableContents"/>
              <w:bidi w:val="0"/>
              <w:spacing w:before="0" w:after="283"/>
              <w:rPr/>
            </w:pPr>
            <w:r>
              <w:rPr/>
              <w:t>39.38</w:t>
            </w:r>
          </w:p>
        </w:tc>
        <w:tc>
          <w:tcPr>
            <w:tcW w:w="1068" w:type="dxa"/>
            <w:tcBorders/>
            <w:vAlign w:val="center"/>
          </w:tcPr>
          <w:p>
            <w:pPr>
              <w:pStyle w:val="TableContents"/>
              <w:bidi w:val="0"/>
              <w:spacing w:before="0" w:after="283"/>
              <w:rPr/>
            </w:pPr>
            <w:r>
              <w:rPr/>
              <w:t>76.86</w:t>
            </w:r>
          </w:p>
        </w:tc>
        <w:tc>
          <w:tcPr>
            <w:tcW w:w="665" w:type="dxa"/>
            <w:tcBorders/>
            <w:vAlign w:val="center"/>
          </w:tcPr>
          <w:p>
            <w:pPr>
              <w:pStyle w:val="TableContents"/>
              <w:bidi w:val="0"/>
              <w:spacing w:before="0" w:after="283"/>
              <w:rPr/>
            </w:pPr>
            <w:r>
              <w:rPr/>
              <w:t>52.08</w:t>
            </w:r>
          </w:p>
        </w:tc>
        <w:tc>
          <w:tcPr>
            <w:tcW w:w="680" w:type="dxa"/>
            <w:tcBorders/>
            <w:vAlign w:val="center"/>
          </w:tcPr>
          <w:p>
            <w:pPr>
              <w:pStyle w:val="TableContents"/>
              <w:bidi w:val="0"/>
              <w:spacing w:before="0" w:after="283"/>
              <w:rPr/>
            </w:pPr>
            <w:r>
              <w:rPr/>
              <w:t>41.95</w:t>
            </w:r>
          </w:p>
        </w:tc>
        <w:tc>
          <w:tcPr>
            <w:tcW w:w="1174" w:type="dxa"/>
            <w:tcBorders/>
            <w:vAlign w:val="center"/>
          </w:tcPr>
          <w:p>
            <w:pPr>
              <w:pStyle w:val="TableContents"/>
              <w:bidi w:val="0"/>
              <w:spacing w:before="0" w:after="283"/>
              <w:rPr/>
            </w:pPr>
            <w:r>
              <w:rPr/>
              <w:t>59.72</w:t>
            </w:r>
          </w:p>
        </w:tc>
      </w:tr>
    </w:tbl>
    <w:p>
      <w:pPr>
        <w:pStyle w:val="BodyText"/>
        <w:bidi w:val="0"/>
        <w:rPr/>
      </w:pPr>
      <w:r>
        <w:rPr>
          <w:rStyle w:val="Strong"/>
        </w:rPr>
        <w:t>Development-selected pipeline:</w:t>
      </w:r>
      <w:r>
        <w:rPr/>
        <w:t xml:space="preserve"> random_forest__context_40. Development F1: 59.72%; historical F1: 52.08%. The frozen v2 reference has higher historical F1 than 4 of the eight matched pipelines and lower F1 than 4. A ranking observed on this cohort is not a demonstration of population superiority.</w:t>
      </w:r>
    </w:p>
    <w:p>
      <w:pPr>
        <w:pStyle w:val="BodyText"/>
        <w:bidi w:val="0"/>
        <w:rPr/>
      </w:pPr>
      <w:r>
        <w:rPr/>
        <w:t>The development-selected pipeline ranks 1 of eight by historical F1. Relative to the frozen v2 reference, its precision changes from 34.13% to 39.38%, recall from 90.12% to 76.86%, and average precision from 56.99% to 41.95%. Higher F1 therefore does not imply improvement on every metric.</w:t>
      </w:r>
    </w:p>
    <w:p>
      <w:pPr>
        <w:pStyle w:val="Heading2"/>
        <w:bidi w:val="0"/>
        <w:rPr/>
      </w:pPr>
      <w:r>
        <w:rPr/>
        <w:t>Models and fair comparison</w:t>
      </w:r>
    </w:p>
    <w:p>
      <w:pPr>
        <w:pStyle w:val="BodyText"/>
        <w:bidi w:val="0"/>
        <w:rPr/>
      </w:pPr>
      <w:r>
        <w:rPr/>
        <w:t>Both feature conditions use the same train-fitted word/character TF-IDF. The wider condition adds the same context-40 representation used by the frozen v2 pipeline. This gives alternatives access to that context rather than reserving it for our preferred method. Each family gets three hyperparameter values, the same smoothing choices, and the same quantile-based threshold selection rule. The frozen v2 reference used the previous development search and is not part of the new matched search budget.</w:t>
      </w:r>
    </w:p>
    <w:p>
      <w:pPr>
        <w:pStyle w:val="BodyText"/>
        <w:numPr>
          <w:ilvl w:val="0"/>
          <w:numId w:val="1"/>
        </w:numPr>
        <w:tabs>
          <w:tab w:val="clear" w:pos="1134"/>
          <w:tab w:val="left" w:pos="709" w:leader="none"/>
        </w:tabs>
        <w:bidi w:val="0"/>
        <w:spacing w:before="0" w:after="0"/>
        <w:ind w:hanging="283" w:start="709"/>
        <w:rPr/>
      </w:pPr>
      <w:r>
        <w:rPr/>
        <w:t xml:space="preserve">Logistic regression: C = 0.3, 1, 3; balanced classes. </w:t>
      </w:r>
    </w:p>
    <w:p>
      <w:pPr>
        <w:pStyle w:val="BodyText"/>
        <w:numPr>
          <w:ilvl w:val="0"/>
          <w:numId w:val="1"/>
        </w:numPr>
        <w:tabs>
          <w:tab w:val="clear" w:pos="1134"/>
          <w:tab w:val="left" w:pos="709" w:leader="none"/>
        </w:tabs>
        <w:bidi w:val="0"/>
        <w:spacing w:before="0" w:after="0"/>
        <w:ind w:hanging="283" w:start="709"/>
        <w:rPr/>
      </w:pPr>
      <w:r>
        <w:rPr/>
        <w:t xml:space="preserve">Complement Naive Bayes: alpha = 0.1, 1, 10; balanced sample weights. </w:t>
      </w:r>
    </w:p>
    <w:p>
      <w:pPr>
        <w:pStyle w:val="BodyText"/>
        <w:numPr>
          <w:ilvl w:val="0"/>
          <w:numId w:val="1"/>
        </w:numPr>
        <w:tabs>
          <w:tab w:val="clear" w:pos="1134"/>
          <w:tab w:val="left" w:pos="709" w:leader="none"/>
        </w:tabs>
        <w:bidi w:val="0"/>
        <w:spacing w:before="0" w:after="0"/>
        <w:ind w:hanging="283" w:start="709"/>
        <w:rPr/>
      </w:pPr>
      <w:r>
        <w:rPr/>
        <w:t xml:space="preserve">Linear SVM: C = 0.3, 1, 3; balanced classes; training-only sigmoid calibration. </w:t>
      </w:r>
    </w:p>
    <w:p>
      <w:pPr>
        <w:pStyle w:val="BodyText"/>
        <w:numPr>
          <w:ilvl w:val="0"/>
          <w:numId w:val="1"/>
        </w:numPr>
        <w:tabs>
          <w:tab w:val="clear" w:pos="1134"/>
          <w:tab w:val="left" w:pos="709" w:leader="none"/>
        </w:tabs>
        <w:bidi w:val="0"/>
        <w:ind w:hanging="283" w:start="709"/>
        <w:rPr/>
      </w:pPr>
      <w:r>
        <w:rPr/>
        <w:t xml:space="preserve">Random forest: 100 trees, minimum leaf size 2, maximum depth 10, 30 or unrestricted; balanced bootstrap-sample weights. </w:t>
      </w:r>
    </w:p>
    <w:p>
      <w:pPr>
        <w:pStyle w:val="BodyText"/>
        <w:bidi w:val="0"/>
        <w:rPr/>
      </w:pPr>
      <w:r>
        <w:rPr/>
        <w:t>Smoothing radius is selected from 0, 5 and 15 acts. Each candidate's threshold search uses 13 prespecified quantiles of its development scores plus 0.5, removing duplicates. This allows sharply concentrated probability scores to be thresholded rather than advantaging one classifier's probability scale. Pooled development F1 selects each pipeline and the study's primary pipeline; fixed loop order resolves ties. No historical-score-based model replacement is performed.</w:t>
      </w:r>
    </w:p>
    <w:p>
      <w:pPr>
        <w:pStyle w:val="BodyText"/>
        <w:bidi w:val="0"/>
        <w:rPr/>
      </w:pPr>
      <w:r>
        <w:rPr/>
        <w:t xml:space="preserve">The SVM calibration uses three project-separated training folds. Vocabulary/IDF remains shared across these inner folds, an unsupervised inner-calibration limitation; it sees no dev/test text during fitting. Calibration groups are recorded in </w:t>
      </w:r>
      <w:r>
        <w:rPr>
          <w:rStyle w:val="SourceText"/>
        </w:rPr>
        <w:t>evaluation/classifier_comparison/calibration_groups.json</w:t>
      </w:r>
      <w:r>
        <w:rPr/>
        <w:t xml:space="preserve">. The methods follow the installed scikit-learn 1.6.1 interfaces; see its </w:t>
      </w:r>
      <w:hyperlink r:id="rId2">
        <w:r>
          <w:rPr>
            <w:rStyle w:val="Hyperlink"/>
          </w:rPr>
          <w:t>sparse-text comparison example</w:t>
        </w:r>
      </w:hyperlink>
      <w:r>
        <w:rPr/>
        <w:t xml:space="preserve"> and </w:t>
      </w:r>
      <w:hyperlink r:id="rId3">
        <w:r>
          <w:rPr>
            <w:rStyle w:val="Hyperlink"/>
          </w:rPr>
          <w:t>calibration documentation</w:t>
        </w:r>
      </w:hyperlink>
      <w:r>
        <w:rPr/>
        <w:t>. Those examples' datasets and scores are not reused here.</w:t>
      </w:r>
    </w:p>
    <w:p>
      <w:pPr>
        <w:pStyle w:val="BodyText"/>
        <w:keepLines/>
        <w:bidi w:val="0"/>
        <w:ind w:hanging="0" w:start="0" w:end="0"/>
        <w:rPr/>
      </w:pPr>
      <w:r>
        <w:rPr/>
        <w:drawing>
          <wp:inline distT="0" distB="0" distL="0" distR="0">
            <wp:extent cx="5715000" cy="2543175"/>
            <wp:effectExtent l="0" t="0" r="0" b="0"/>
            <wp:docPr id="1" name="Image1" title="Matched classifier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title="Matched classifier comparison"/>
                    <pic:cNvPicPr>
                      <a:picLocks noChangeAspect="1" noChangeArrowheads="1"/>
                    </pic:cNvPicPr>
                  </pic:nvPicPr>
                  <pic:blipFill>
                    <a:blip r:embed="rId4"/>
                    <a:stretch>
                      <a:fillRect/>
                    </a:stretch>
                  </pic:blipFill>
                  <pic:spPr bwMode="auto">
                    <a:xfrm>
                      <a:off x="0" y="0"/>
                      <a:ext cx="5715000" cy="2543175"/>
                    </a:xfrm>
                    <a:prstGeom prst="rect">
                      <a:avLst/>
                    </a:prstGeom>
                    <a:noFill/>
                  </pic:spPr>
                </pic:pic>
              </a:graphicData>
            </a:graphic>
          </wp:inline>
        </w:drawing>
      </w:r>
      <w:r>
        <w:rPr/>
        <w:br/>
        <w:t>Fig. 1. Historical F1 under matched feature conditions.</w:t>
      </w:r>
    </w:p>
    <w:p>
      <w:pPr>
        <w:pStyle w:val="Heading2"/>
        <w:bidi w:val="0"/>
        <w:rPr/>
      </w:pPr>
      <w:r>
        <w:rPr/>
        <w:t>Runtime scope</w:t>
      </w:r>
    </w:p>
    <w:tbl>
      <w:tblPr>
        <w:tblW w:w="11339" w:type="dxa"/>
        <w:jc w:val="start"/>
        <w:tblInd w:w="0" w:type="dxa"/>
        <w:tblLayout w:type="fixed"/>
        <w:tblCellMar>
          <w:top w:w="28" w:type="dxa"/>
          <w:start w:w="28" w:type="dxa"/>
          <w:bottom w:w="28" w:type="dxa"/>
          <w:end w:w="28" w:type="dxa"/>
        </w:tblCellMar>
      </w:tblPr>
      <w:tblGrid>
        <w:gridCol w:w="3459"/>
        <w:gridCol w:w="3403"/>
        <w:gridCol w:w="4477"/>
      </w:tblGrid>
      <w:tr>
        <w:trPr>
          <w:tblHeader w:val="true"/>
        </w:trPr>
        <w:tc>
          <w:tcPr>
            <w:tcW w:w="3459" w:type="dxa"/>
            <w:tcBorders/>
            <w:vAlign w:val="center"/>
          </w:tcPr>
          <w:p>
            <w:pPr>
              <w:pStyle w:val="TableHeading"/>
              <w:suppressLineNumbers/>
              <w:bidi w:val="0"/>
              <w:spacing w:before="0" w:after="283"/>
              <w:jc w:val="center"/>
              <w:rPr/>
            </w:pPr>
            <w:r>
              <w:rPr/>
              <w:t>Pipeline</w:t>
            </w:r>
          </w:p>
        </w:tc>
        <w:tc>
          <w:tcPr>
            <w:tcW w:w="3403" w:type="dxa"/>
            <w:tcBorders/>
            <w:vAlign w:val="center"/>
          </w:tcPr>
          <w:p>
            <w:pPr>
              <w:pStyle w:val="TableHeading"/>
              <w:suppressLineNumbers/>
              <w:bidi w:val="0"/>
              <w:spacing w:before="0" w:after="283"/>
              <w:jc w:val="center"/>
              <w:rPr/>
            </w:pPr>
            <w:r>
              <w:rPr/>
              <w:t>Three-parameter fitting total (s)</w:t>
            </w:r>
          </w:p>
        </w:tc>
        <w:tc>
          <w:tcPr>
            <w:tcW w:w="4477" w:type="dxa"/>
            <w:tcBorders/>
            <w:vAlign w:val="center"/>
          </w:tcPr>
          <w:p>
            <w:pPr>
              <w:pStyle w:val="TableHeading"/>
              <w:suppressLineNumbers/>
              <w:bidi w:val="0"/>
              <w:spacing w:before="0" w:after="283"/>
              <w:jc w:val="center"/>
              <w:rPr/>
            </w:pPr>
            <w:r>
              <w:rPr/>
              <w:t>One warm classification + smoothing pass (s)</w:t>
            </w:r>
          </w:p>
        </w:tc>
      </w:tr>
      <w:tr>
        <w:trPr/>
        <w:tc>
          <w:tcPr>
            <w:tcW w:w="3459" w:type="dxa"/>
            <w:tcBorders/>
            <w:vAlign w:val="center"/>
          </w:tcPr>
          <w:p>
            <w:pPr>
              <w:pStyle w:val="TableContents"/>
              <w:bidi w:val="0"/>
              <w:spacing w:before="0" w:after="283"/>
              <w:rPr/>
            </w:pPr>
            <w:r>
              <w:rPr/>
              <w:t>logistic_regression__local</w:t>
            </w:r>
          </w:p>
        </w:tc>
        <w:tc>
          <w:tcPr>
            <w:tcW w:w="3403" w:type="dxa"/>
            <w:tcBorders/>
            <w:vAlign w:val="center"/>
          </w:tcPr>
          <w:p>
            <w:pPr>
              <w:pStyle w:val="TableContents"/>
              <w:bidi w:val="0"/>
              <w:spacing w:before="0" w:after="283"/>
              <w:rPr/>
            </w:pPr>
            <w:r>
              <w:rPr/>
              <w:t>1.826</w:t>
            </w:r>
          </w:p>
        </w:tc>
        <w:tc>
          <w:tcPr>
            <w:tcW w:w="4477" w:type="dxa"/>
            <w:tcBorders/>
            <w:vAlign w:val="center"/>
          </w:tcPr>
          <w:p>
            <w:pPr>
              <w:pStyle w:val="TableContents"/>
              <w:bidi w:val="0"/>
              <w:spacing w:before="0" w:after="283"/>
              <w:rPr/>
            </w:pPr>
            <w:r>
              <w:rPr/>
              <w:t>0.0068</w:t>
            </w:r>
          </w:p>
        </w:tc>
      </w:tr>
      <w:tr>
        <w:trPr/>
        <w:tc>
          <w:tcPr>
            <w:tcW w:w="3459" w:type="dxa"/>
            <w:tcBorders/>
            <w:vAlign w:val="center"/>
          </w:tcPr>
          <w:p>
            <w:pPr>
              <w:pStyle w:val="TableContents"/>
              <w:bidi w:val="0"/>
              <w:spacing w:before="0" w:after="283"/>
              <w:rPr/>
            </w:pPr>
            <w:r>
              <w:rPr/>
              <w:t>complement_nb__local</w:t>
            </w:r>
          </w:p>
        </w:tc>
        <w:tc>
          <w:tcPr>
            <w:tcW w:w="3403" w:type="dxa"/>
            <w:tcBorders/>
            <w:vAlign w:val="center"/>
          </w:tcPr>
          <w:p>
            <w:pPr>
              <w:pStyle w:val="TableContents"/>
              <w:bidi w:val="0"/>
              <w:spacing w:before="0" w:after="283"/>
              <w:rPr/>
            </w:pPr>
            <w:r>
              <w:rPr/>
              <w:t>0.038</w:t>
            </w:r>
          </w:p>
        </w:tc>
        <w:tc>
          <w:tcPr>
            <w:tcW w:w="4477" w:type="dxa"/>
            <w:tcBorders/>
            <w:vAlign w:val="center"/>
          </w:tcPr>
          <w:p>
            <w:pPr>
              <w:pStyle w:val="TableContents"/>
              <w:bidi w:val="0"/>
              <w:spacing w:before="0" w:after="283"/>
              <w:rPr/>
            </w:pPr>
            <w:r>
              <w:rPr/>
              <w:t>0.0107</w:t>
            </w:r>
          </w:p>
        </w:tc>
      </w:tr>
      <w:tr>
        <w:trPr/>
        <w:tc>
          <w:tcPr>
            <w:tcW w:w="3459" w:type="dxa"/>
            <w:tcBorders/>
            <w:vAlign w:val="center"/>
          </w:tcPr>
          <w:p>
            <w:pPr>
              <w:pStyle w:val="TableContents"/>
              <w:bidi w:val="0"/>
              <w:spacing w:before="0" w:after="283"/>
              <w:rPr/>
            </w:pPr>
            <w:r>
              <w:rPr/>
              <w:t>linear_svm__local</w:t>
            </w:r>
          </w:p>
        </w:tc>
        <w:tc>
          <w:tcPr>
            <w:tcW w:w="3403" w:type="dxa"/>
            <w:tcBorders/>
            <w:vAlign w:val="center"/>
          </w:tcPr>
          <w:p>
            <w:pPr>
              <w:pStyle w:val="TableContents"/>
              <w:bidi w:val="0"/>
              <w:spacing w:before="0" w:after="283"/>
              <w:rPr/>
            </w:pPr>
            <w:r>
              <w:rPr/>
              <w:t>8.204</w:t>
            </w:r>
          </w:p>
        </w:tc>
        <w:tc>
          <w:tcPr>
            <w:tcW w:w="4477" w:type="dxa"/>
            <w:tcBorders/>
            <w:vAlign w:val="center"/>
          </w:tcPr>
          <w:p>
            <w:pPr>
              <w:pStyle w:val="TableContents"/>
              <w:bidi w:val="0"/>
              <w:spacing w:before="0" w:after="283"/>
              <w:rPr/>
            </w:pPr>
            <w:r>
              <w:rPr/>
              <w:t>0.0077</w:t>
            </w:r>
          </w:p>
        </w:tc>
      </w:tr>
      <w:tr>
        <w:trPr/>
        <w:tc>
          <w:tcPr>
            <w:tcW w:w="3459" w:type="dxa"/>
            <w:tcBorders/>
            <w:vAlign w:val="center"/>
          </w:tcPr>
          <w:p>
            <w:pPr>
              <w:pStyle w:val="TableContents"/>
              <w:bidi w:val="0"/>
              <w:spacing w:before="0" w:after="283"/>
              <w:rPr/>
            </w:pPr>
            <w:r>
              <w:rPr/>
              <w:t>random_forest__local</w:t>
            </w:r>
          </w:p>
        </w:tc>
        <w:tc>
          <w:tcPr>
            <w:tcW w:w="3403" w:type="dxa"/>
            <w:tcBorders/>
            <w:vAlign w:val="center"/>
          </w:tcPr>
          <w:p>
            <w:pPr>
              <w:pStyle w:val="TableContents"/>
              <w:bidi w:val="0"/>
              <w:spacing w:before="0" w:after="283"/>
              <w:rPr/>
            </w:pPr>
            <w:r>
              <w:rPr/>
              <w:t>26.402</w:t>
            </w:r>
          </w:p>
        </w:tc>
        <w:tc>
          <w:tcPr>
            <w:tcW w:w="4477" w:type="dxa"/>
            <w:tcBorders/>
            <w:vAlign w:val="center"/>
          </w:tcPr>
          <w:p>
            <w:pPr>
              <w:pStyle w:val="TableContents"/>
              <w:bidi w:val="0"/>
              <w:spacing w:before="0" w:after="283"/>
              <w:rPr/>
            </w:pPr>
            <w:r>
              <w:rPr/>
              <w:t>0.3605</w:t>
            </w:r>
          </w:p>
        </w:tc>
      </w:tr>
      <w:tr>
        <w:trPr/>
        <w:tc>
          <w:tcPr>
            <w:tcW w:w="3459" w:type="dxa"/>
            <w:tcBorders/>
            <w:vAlign w:val="center"/>
          </w:tcPr>
          <w:p>
            <w:pPr>
              <w:pStyle w:val="TableContents"/>
              <w:bidi w:val="0"/>
              <w:spacing w:before="0" w:after="283"/>
              <w:rPr/>
            </w:pPr>
            <w:r>
              <w:rPr/>
              <w:t>logistic_regression__context_40</w:t>
            </w:r>
          </w:p>
        </w:tc>
        <w:tc>
          <w:tcPr>
            <w:tcW w:w="3403" w:type="dxa"/>
            <w:tcBorders/>
            <w:vAlign w:val="center"/>
          </w:tcPr>
          <w:p>
            <w:pPr>
              <w:pStyle w:val="TableContents"/>
              <w:bidi w:val="0"/>
              <w:spacing w:before="0" w:after="283"/>
              <w:rPr/>
            </w:pPr>
            <w:r>
              <w:rPr/>
              <w:t>10.976</w:t>
            </w:r>
          </w:p>
        </w:tc>
        <w:tc>
          <w:tcPr>
            <w:tcW w:w="4477" w:type="dxa"/>
            <w:tcBorders/>
            <w:vAlign w:val="center"/>
          </w:tcPr>
          <w:p>
            <w:pPr>
              <w:pStyle w:val="TableContents"/>
              <w:bidi w:val="0"/>
              <w:spacing w:before="0" w:after="283"/>
              <w:rPr/>
            </w:pPr>
            <w:r>
              <w:rPr/>
              <w:t>0.0151</w:t>
            </w:r>
          </w:p>
        </w:tc>
      </w:tr>
      <w:tr>
        <w:trPr/>
        <w:tc>
          <w:tcPr>
            <w:tcW w:w="3459" w:type="dxa"/>
            <w:tcBorders/>
            <w:vAlign w:val="center"/>
          </w:tcPr>
          <w:p>
            <w:pPr>
              <w:pStyle w:val="TableContents"/>
              <w:bidi w:val="0"/>
              <w:spacing w:before="0" w:after="283"/>
              <w:rPr/>
            </w:pPr>
            <w:r>
              <w:rPr/>
              <w:t>complement_nb__context_40</w:t>
            </w:r>
          </w:p>
        </w:tc>
        <w:tc>
          <w:tcPr>
            <w:tcW w:w="3403" w:type="dxa"/>
            <w:tcBorders/>
            <w:vAlign w:val="center"/>
          </w:tcPr>
          <w:p>
            <w:pPr>
              <w:pStyle w:val="TableContents"/>
              <w:bidi w:val="0"/>
              <w:spacing w:before="0" w:after="283"/>
              <w:rPr/>
            </w:pPr>
            <w:r>
              <w:rPr/>
              <w:t>0.153</w:t>
            </w:r>
          </w:p>
        </w:tc>
        <w:tc>
          <w:tcPr>
            <w:tcW w:w="4477" w:type="dxa"/>
            <w:tcBorders/>
            <w:vAlign w:val="center"/>
          </w:tcPr>
          <w:p>
            <w:pPr>
              <w:pStyle w:val="TableContents"/>
              <w:bidi w:val="0"/>
              <w:spacing w:before="0" w:after="283"/>
              <w:rPr/>
            </w:pPr>
            <w:r>
              <w:rPr/>
              <w:t>0.0326</w:t>
            </w:r>
          </w:p>
        </w:tc>
      </w:tr>
      <w:tr>
        <w:trPr/>
        <w:tc>
          <w:tcPr>
            <w:tcW w:w="3459" w:type="dxa"/>
            <w:tcBorders/>
            <w:vAlign w:val="center"/>
          </w:tcPr>
          <w:p>
            <w:pPr>
              <w:pStyle w:val="TableContents"/>
              <w:bidi w:val="0"/>
              <w:spacing w:before="0" w:after="283"/>
              <w:rPr/>
            </w:pPr>
            <w:r>
              <w:rPr/>
              <w:t>linear_svm__context_40</w:t>
            </w:r>
          </w:p>
        </w:tc>
        <w:tc>
          <w:tcPr>
            <w:tcW w:w="3403" w:type="dxa"/>
            <w:tcBorders/>
            <w:vAlign w:val="center"/>
          </w:tcPr>
          <w:p>
            <w:pPr>
              <w:pStyle w:val="TableContents"/>
              <w:bidi w:val="0"/>
              <w:spacing w:before="0" w:after="283"/>
              <w:rPr/>
            </w:pPr>
            <w:r>
              <w:rPr/>
              <w:t>19.511</w:t>
            </w:r>
          </w:p>
        </w:tc>
        <w:tc>
          <w:tcPr>
            <w:tcW w:w="4477" w:type="dxa"/>
            <w:tcBorders/>
            <w:vAlign w:val="center"/>
          </w:tcPr>
          <w:p>
            <w:pPr>
              <w:pStyle w:val="TableContents"/>
              <w:bidi w:val="0"/>
              <w:spacing w:before="0" w:after="283"/>
              <w:rPr/>
            </w:pPr>
            <w:r>
              <w:rPr/>
              <w:t>0.0189</w:t>
            </w:r>
          </w:p>
        </w:tc>
      </w:tr>
      <w:tr>
        <w:trPr/>
        <w:tc>
          <w:tcPr>
            <w:tcW w:w="3459" w:type="dxa"/>
            <w:tcBorders/>
            <w:vAlign w:val="center"/>
          </w:tcPr>
          <w:p>
            <w:pPr>
              <w:pStyle w:val="TableContents"/>
              <w:bidi w:val="0"/>
              <w:spacing w:before="0" w:after="283"/>
              <w:rPr/>
            </w:pPr>
            <w:r>
              <w:rPr/>
              <w:t>random_forest__context_40</w:t>
            </w:r>
          </w:p>
        </w:tc>
        <w:tc>
          <w:tcPr>
            <w:tcW w:w="3403" w:type="dxa"/>
            <w:tcBorders/>
            <w:vAlign w:val="center"/>
          </w:tcPr>
          <w:p>
            <w:pPr>
              <w:pStyle w:val="TableContents"/>
              <w:bidi w:val="0"/>
              <w:spacing w:before="0" w:after="283"/>
              <w:rPr/>
            </w:pPr>
            <w:r>
              <w:rPr/>
              <w:t>30.434</w:t>
            </w:r>
          </w:p>
        </w:tc>
        <w:tc>
          <w:tcPr>
            <w:tcW w:w="4477" w:type="dxa"/>
            <w:tcBorders/>
            <w:vAlign w:val="center"/>
          </w:tcPr>
          <w:p>
            <w:pPr>
              <w:pStyle w:val="TableContents"/>
              <w:bidi w:val="0"/>
              <w:spacing w:before="0" w:after="283"/>
              <w:rPr/>
            </w:pPr>
            <w:r>
              <w:rPr/>
              <w:t>0.7470</w:t>
            </w:r>
          </w:p>
        </w:tc>
      </w:tr>
    </w:tbl>
    <w:p>
      <w:pPr>
        <w:pStyle w:val="BodyText"/>
        <w:bidi w:val="0"/>
        <w:rPr/>
      </w:pPr>
      <w:r>
        <w:rPr/>
        <w:t>Fitting totals cover all three parameter fits for each pipeline. SVM totals include its grouped calibration and final training. They exclude shared text transforms, model selection/scoring overhead and artifact I/O. A single warm classification pass is descriptive; it is not a repeated controlled latency benchmark. Shared train/dev text transformation took 12.86s; historical-test transformation took 5.11s. These are classifier experiments, not full recording processing timings.</w:t>
      </w:r>
    </w:p>
    <w:p>
      <w:pPr>
        <w:pStyle w:val="Heading2"/>
        <w:bidi w:val="0"/>
        <w:rPr/>
      </w:pPr>
      <w:r>
        <w:rPr/>
        <w:t>What can be claimed</w:t>
      </w:r>
    </w:p>
    <w:p>
      <w:pPr>
        <w:pStyle w:val="BodyText"/>
        <w:bidi w:val="0"/>
        <w:rPr/>
      </w:pPr>
      <w:r>
        <w:rPr/>
        <w:t>Report exact task, cohort, metric, feature condition and selected configuration with each comparison. The frozen v2 reference has higher historical F1 than 4 of the eight matched pipelines and lower F1 than 4. The complete meeting application, ASR, diarization, presentation alignment, influence rankings and Hindi/Hinglish recognition were not compared by this experiment. These are common classifier implementations on our task, not replications of published decision-extraction systems or commercial meeting assistants.</w:t>
      </w:r>
    </w:p>
    <w:p>
      <w:pPr>
        <w:pStyle w:val="BodyText"/>
        <w:bidi w:val="0"/>
        <w:rPr/>
      </w:pPr>
      <w:r>
        <w:rPr/>
        <w:t xml:space="preserve">The old historical cohort had already informed previous development. This is an exploratory comparative extension, even though this round freezes selections before scoring. All rows use the same 12 meetings from only three independent project series; the 11,136 acts are not independent observations. Outside-span negatives keep the original annotation-completeness assumption. Human reference text and act boundaries are oracle inputs. A new independently annotated evaluation cohort is necessary for confirmatory claims. These models were research artifacts at comparison time; the subsequent learned-review integration is reported separately in </w:t>
      </w:r>
      <w:r>
        <w:rPr>
          <w:rStyle w:val="SourceText"/>
        </w:rPr>
        <w:t>PIPELINE_IMPROVEMENTS.md</w:t>
      </w:r>
      <w:r>
        <w:rPr/>
        <w:t>.</w:t>
      </w:r>
    </w:p>
    <w:p>
      <w:pPr>
        <w:pStyle w:val="Heading2"/>
        <w:bidi w:val="0"/>
        <w:rPr/>
      </w:pPr>
      <w:r>
        <w:rPr/>
        <w:t>Paired uncertainty against the frozen reference</w:t>
      </w:r>
    </w:p>
    <w:tbl>
      <w:tblPr>
        <w:tblW w:w="11315" w:type="dxa"/>
        <w:jc w:val="start"/>
        <w:tblInd w:w="0" w:type="dxa"/>
        <w:tblLayout w:type="fixed"/>
        <w:tblCellMar>
          <w:top w:w="28" w:type="dxa"/>
          <w:start w:w="28" w:type="dxa"/>
          <w:bottom w:w="28" w:type="dxa"/>
          <w:end w:w="28" w:type="dxa"/>
        </w:tblCellMar>
      </w:tblPr>
      <w:tblGrid>
        <w:gridCol w:w="3459"/>
        <w:gridCol w:w="3875"/>
        <w:gridCol w:w="3981"/>
      </w:tblGrid>
      <w:tr>
        <w:trPr>
          <w:tblHeader w:val="true"/>
        </w:trPr>
        <w:tc>
          <w:tcPr>
            <w:tcW w:w="3459" w:type="dxa"/>
            <w:tcBorders/>
            <w:vAlign w:val="center"/>
          </w:tcPr>
          <w:p>
            <w:pPr>
              <w:pStyle w:val="TableHeading"/>
              <w:suppressLineNumbers/>
              <w:bidi w:val="0"/>
              <w:spacing w:before="0" w:after="283"/>
              <w:jc w:val="center"/>
              <w:rPr/>
            </w:pPr>
            <w:r>
              <w:rPr/>
              <w:t>Pipeline</w:t>
            </w:r>
          </w:p>
        </w:tc>
        <w:tc>
          <w:tcPr>
            <w:tcW w:w="3875" w:type="dxa"/>
            <w:tcBorders/>
            <w:vAlign w:val="center"/>
          </w:tcPr>
          <w:p>
            <w:pPr>
              <w:pStyle w:val="TableHeading"/>
              <w:suppressLineNumbers/>
              <w:bidi w:val="0"/>
              <w:spacing w:before="0" w:after="283"/>
              <w:jc w:val="center"/>
              <w:rPr/>
            </w:pPr>
            <w:r>
              <w:rPr/>
              <w:t>F1 difference (percentage points)</w:t>
            </w:r>
          </w:p>
        </w:tc>
        <w:tc>
          <w:tcPr>
            <w:tcW w:w="3981" w:type="dxa"/>
            <w:tcBorders/>
            <w:vAlign w:val="center"/>
          </w:tcPr>
          <w:p>
            <w:pPr>
              <w:pStyle w:val="TableHeading"/>
              <w:suppressLineNumbers/>
              <w:bidi w:val="0"/>
              <w:spacing w:before="0" w:after="283"/>
              <w:jc w:val="center"/>
              <w:rPr/>
            </w:pPr>
            <w:r>
              <w:rPr/>
              <w:t>Descriptive paired-series interval</w:t>
            </w:r>
          </w:p>
        </w:tc>
      </w:tr>
      <w:tr>
        <w:trPr/>
        <w:tc>
          <w:tcPr>
            <w:tcW w:w="3459" w:type="dxa"/>
            <w:tcBorders/>
            <w:vAlign w:val="center"/>
          </w:tcPr>
          <w:p>
            <w:pPr>
              <w:pStyle w:val="TableContents"/>
              <w:bidi w:val="0"/>
              <w:spacing w:before="0" w:after="283"/>
              <w:rPr/>
            </w:pPr>
            <w:r>
              <w:rPr/>
              <w:t>logistic_regression__local</w:t>
            </w:r>
          </w:p>
        </w:tc>
        <w:tc>
          <w:tcPr>
            <w:tcW w:w="3875" w:type="dxa"/>
            <w:tcBorders/>
            <w:vAlign w:val="center"/>
          </w:tcPr>
          <w:p>
            <w:pPr>
              <w:pStyle w:val="TableContents"/>
              <w:bidi w:val="0"/>
              <w:spacing w:before="0" w:after="283"/>
              <w:rPr/>
            </w:pPr>
            <w:r>
              <w:rPr/>
              <w:t>-0.62</w:t>
            </w:r>
          </w:p>
        </w:tc>
        <w:tc>
          <w:tcPr>
            <w:tcW w:w="3981" w:type="dxa"/>
            <w:tcBorders/>
            <w:vAlign w:val="center"/>
          </w:tcPr>
          <w:p>
            <w:pPr>
              <w:pStyle w:val="TableContents"/>
              <w:bidi w:val="0"/>
              <w:spacing w:before="0" w:after="283"/>
              <w:rPr/>
            </w:pPr>
            <w:r>
              <w:rPr/>
              <w:t>-6.60 to +5.16</w:t>
            </w:r>
          </w:p>
        </w:tc>
      </w:tr>
      <w:tr>
        <w:trPr/>
        <w:tc>
          <w:tcPr>
            <w:tcW w:w="3459" w:type="dxa"/>
            <w:tcBorders/>
            <w:vAlign w:val="center"/>
          </w:tcPr>
          <w:p>
            <w:pPr>
              <w:pStyle w:val="TableContents"/>
              <w:bidi w:val="0"/>
              <w:spacing w:before="0" w:after="283"/>
              <w:rPr/>
            </w:pPr>
            <w:r>
              <w:rPr/>
              <w:t>complement_nb__local</w:t>
            </w:r>
          </w:p>
        </w:tc>
        <w:tc>
          <w:tcPr>
            <w:tcW w:w="3875" w:type="dxa"/>
            <w:tcBorders/>
            <w:vAlign w:val="center"/>
          </w:tcPr>
          <w:p>
            <w:pPr>
              <w:pStyle w:val="TableContents"/>
              <w:bidi w:val="0"/>
              <w:spacing w:before="0" w:after="283"/>
              <w:rPr/>
            </w:pPr>
            <w:r>
              <w:rPr/>
              <w:t>-1.43</w:t>
            </w:r>
          </w:p>
        </w:tc>
        <w:tc>
          <w:tcPr>
            <w:tcW w:w="3981" w:type="dxa"/>
            <w:tcBorders/>
            <w:vAlign w:val="center"/>
          </w:tcPr>
          <w:p>
            <w:pPr>
              <w:pStyle w:val="TableContents"/>
              <w:bidi w:val="0"/>
              <w:spacing w:before="0" w:after="283"/>
              <w:rPr/>
            </w:pPr>
            <w:r>
              <w:rPr/>
              <w:t>-8.04 to +4.33</w:t>
            </w:r>
          </w:p>
        </w:tc>
      </w:tr>
      <w:tr>
        <w:trPr/>
        <w:tc>
          <w:tcPr>
            <w:tcW w:w="3459" w:type="dxa"/>
            <w:tcBorders/>
            <w:vAlign w:val="center"/>
          </w:tcPr>
          <w:p>
            <w:pPr>
              <w:pStyle w:val="TableContents"/>
              <w:bidi w:val="0"/>
              <w:spacing w:before="0" w:after="283"/>
              <w:rPr/>
            </w:pPr>
            <w:r>
              <w:rPr/>
              <w:t>linear_svm__local</w:t>
            </w:r>
          </w:p>
        </w:tc>
        <w:tc>
          <w:tcPr>
            <w:tcW w:w="3875" w:type="dxa"/>
            <w:tcBorders/>
            <w:vAlign w:val="center"/>
          </w:tcPr>
          <w:p>
            <w:pPr>
              <w:pStyle w:val="TableContents"/>
              <w:bidi w:val="0"/>
              <w:spacing w:before="0" w:after="283"/>
              <w:rPr/>
            </w:pPr>
            <w:r>
              <w:rPr/>
              <w:t>-1.19</w:t>
            </w:r>
          </w:p>
        </w:tc>
        <w:tc>
          <w:tcPr>
            <w:tcW w:w="3981" w:type="dxa"/>
            <w:tcBorders/>
            <w:vAlign w:val="center"/>
          </w:tcPr>
          <w:p>
            <w:pPr>
              <w:pStyle w:val="TableContents"/>
              <w:bidi w:val="0"/>
              <w:spacing w:before="0" w:after="283"/>
              <w:rPr/>
            </w:pPr>
            <w:r>
              <w:rPr/>
              <w:t>-7.37 to +5.33</w:t>
            </w:r>
          </w:p>
        </w:tc>
      </w:tr>
      <w:tr>
        <w:trPr/>
        <w:tc>
          <w:tcPr>
            <w:tcW w:w="3459" w:type="dxa"/>
            <w:tcBorders/>
            <w:vAlign w:val="center"/>
          </w:tcPr>
          <w:p>
            <w:pPr>
              <w:pStyle w:val="TableContents"/>
              <w:bidi w:val="0"/>
              <w:spacing w:before="0" w:after="283"/>
              <w:rPr/>
            </w:pPr>
            <w:r>
              <w:rPr/>
              <w:t>random_forest__local</w:t>
            </w:r>
          </w:p>
        </w:tc>
        <w:tc>
          <w:tcPr>
            <w:tcW w:w="3875" w:type="dxa"/>
            <w:tcBorders/>
            <w:vAlign w:val="center"/>
          </w:tcPr>
          <w:p>
            <w:pPr>
              <w:pStyle w:val="TableContents"/>
              <w:bidi w:val="0"/>
              <w:spacing w:before="0" w:after="283"/>
              <w:rPr/>
            </w:pPr>
            <w:r>
              <w:rPr/>
              <w:t>+0.75</w:t>
            </w:r>
          </w:p>
        </w:tc>
        <w:tc>
          <w:tcPr>
            <w:tcW w:w="3981" w:type="dxa"/>
            <w:tcBorders/>
            <w:vAlign w:val="center"/>
          </w:tcPr>
          <w:p>
            <w:pPr>
              <w:pStyle w:val="TableContents"/>
              <w:bidi w:val="0"/>
              <w:spacing w:before="0" w:after="283"/>
              <w:rPr/>
            </w:pPr>
            <w:r>
              <w:rPr/>
              <w:t>-3.35 to +3.77</w:t>
            </w:r>
          </w:p>
        </w:tc>
      </w:tr>
      <w:tr>
        <w:trPr/>
        <w:tc>
          <w:tcPr>
            <w:tcW w:w="3459" w:type="dxa"/>
            <w:tcBorders/>
            <w:vAlign w:val="center"/>
          </w:tcPr>
          <w:p>
            <w:pPr>
              <w:pStyle w:val="TableContents"/>
              <w:bidi w:val="0"/>
              <w:spacing w:before="0" w:after="283"/>
              <w:rPr/>
            </w:pPr>
            <w:r>
              <w:rPr/>
              <w:t>logistic_regression__context_40</w:t>
            </w:r>
          </w:p>
        </w:tc>
        <w:tc>
          <w:tcPr>
            <w:tcW w:w="3875" w:type="dxa"/>
            <w:tcBorders/>
            <w:vAlign w:val="center"/>
          </w:tcPr>
          <w:p>
            <w:pPr>
              <w:pStyle w:val="TableContents"/>
              <w:bidi w:val="0"/>
              <w:spacing w:before="0" w:after="283"/>
              <w:rPr/>
            </w:pPr>
            <w:r>
              <w:rPr/>
              <w:t>+1.09</w:t>
            </w:r>
          </w:p>
        </w:tc>
        <w:tc>
          <w:tcPr>
            <w:tcW w:w="3981" w:type="dxa"/>
            <w:tcBorders/>
            <w:vAlign w:val="center"/>
          </w:tcPr>
          <w:p>
            <w:pPr>
              <w:pStyle w:val="TableContents"/>
              <w:bidi w:val="0"/>
              <w:spacing w:before="0" w:after="283"/>
              <w:rPr/>
            </w:pPr>
            <w:r>
              <w:rPr/>
              <w:t>-1.00 to +1.92</w:t>
            </w:r>
          </w:p>
        </w:tc>
      </w:tr>
      <w:tr>
        <w:trPr/>
        <w:tc>
          <w:tcPr>
            <w:tcW w:w="3459" w:type="dxa"/>
            <w:tcBorders/>
            <w:vAlign w:val="center"/>
          </w:tcPr>
          <w:p>
            <w:pPr>
              <w:pStyle w:val="TableContents"/>
              <w:bidi w:val="0"/>
              <w:spacing w:before="0" w:after="283"/>
              <w:rPr/>
            </w:pPr>
            <w:r>
              <w:rPr/>
              <w:t>complement_nb__context_40</w:t>
            </w:r>
          </w:p>
        </w:tc>
        <w:tc>
          <w:tcPr>
            <w:tcW w:w="3875" w:type="dxa"/>
            <w:tcBorders/>
            <w:vAlign w:val="center"/>
          </w:tcPr>
          <w:p>
            <w:pPr>
              <w:pStyle w:val="TableContents"/>
              <w:bidi w:val="0"/>
              <w:spacing w:before="0" w:after="283"/>
              <w:rPr/>
            </w:pPr>
            <w:r>
              <w:rPr/>
              <w:t>-2.39</w:t>
            </w:r>
          </w:p>
        </w:tc>
        <w:tc>
          <w:tcPr>
            <w:tcW w:w="3981" w:type="dxa"/>
            <w:tcBorders/>
            <w:vAlign w:val="center"/>
          </w:tcPr>
          <w:p>
            <w:pPr>
              <w:pStyle w:val="TableContents"/>
              <w:bidi w:val="0"/>
              <w:spacing w:before="0" w:after="283"/>
              <w:rPr/>
            </w:pPr>
            <w:r>
              <w:rPr/>
              <w:t>-8.27 to +3.23</w:t>
            </w:r>
          </w:p>
        </w:tc>
      </w:tr>
      <w:tr>
        <w:trPr/>
        <w:tc>
          <w:tcPr>
            <w:tcW w:w="3459" w:type="dxa"/>
            <w:tcBorders/>
            <w:vAlign w:val="center"/>
          </w:tcPr>
          <w:p>
            <w:pPr>
              <w:pStyle w:val="TableContents"/>
              <w:bidi w:val="0"/>
              <w:spacing w:before="0" w:after="283"/>
              <w:rPr/>
            </w:pPr>
            <w:r>
              <w:rPr/>
              <w:t>linear_svm__context_40</w:t>
            </w:r>
          </w:p>
        </w:tc>
        <w:tc>
          <w:tcPr>
            <w:tcW w:w="3875" w:type="dxa"/>
            <w:tcBorders/>
            <w:vAlign w:val="center"/>
          </w:tcPr>
          <w:p>
            <w:pPr>
              <w:pStyle w:val="TableContents"/>
              <w:bidi w:val="0"/>
              <w:spacing w:before="0" w:after="283"/>
              <w:rPr/>
            </w:pPr>
            <w:r>
              <w:rPr/>
              <w:t>+0.97</w:t>
            </w:r>
          </w:p>
        </w:tc>
        <w:tc>
          <w:tcPr>
            <w:tcW w:w="3981" w:type="dxa"/>
            <w:tcBorders/>
            <w:vAlign w:val="center"/>
          </w:tcPr>
          <w:p>
            <w:pPr>
              <w:pStyle w:val="TableContents"/>
              <w:bidi w:val="0"/>
              <w:spacing w:before="0" w:after="283"/>
              <w:rPr/>
            </w:pPr>
            <w:r>
              <w:rPr/>
              <w:t>+0.12 to +1.69</w:t>
            </w:r>
          </w:p>
        </w:tc>
      </w:tr>
      <w:tr>
        <w:trPr/>
        <w:tc>
          <w:tcPr>
            <w:tcW w:w="3459" w:type="dxa"/>
            <w:tcBorders/>
            <w:vAlign w:val="center"/>
          </w:tcPr>
          <w:p>
            <w:pPr>
              <w:pStyle w:val="TableContents"/>
              <w:bidi w:val="0"/>
              <w:spacing w:before="0" w:after="283"/>
              <w:rPr/>
            </w:pPr>
            <w:r>
              <w:rPr/>
              <w:t>random_forest__context_40</w:t>
            </w:r>
          </w:p>
        </w:tc>
        <w:tc>
          <w:tcPr>
            <w:tcW w:w="3875" w:type="dxa"/>
            <w:tcBorders/>
            <w:vAlign w:val="center"/>
          </w:tcPr>
          <w:p>
            <w:pPr>
              <w:pStyle w:val="TableContents"/>
              <w:bidi w:val="0"/>
              <w:spacing w:before="0" w:after="283"/>
              <w:rPr/>
            </w:pPr>
            <w:r>
              <w:rPr/>
              <w:t>+2.57</w:t>
            </w:r>
          </w:p>
        </w:tc>
        <w:tc>
          <w:tcPr>
            <w:tcW w:w="3981" w:type="dxa"/>
            <w:tcBorders/>
            <w:vAlign w:val="center"/>
          </w:tcPr>
          <w:p>
            <w:pPr>
              <w:pStyle w:val="TableContents"/>
              <w:bidi w:val="0"/>
              <w:spacing w:before="0" w:after="283"/>
              <w:rPr/>
            </w:pPr>
            <w:r>
              <w:rPr/>
              <w:t>-1.62 to +10.61</w:t>
            </w:r>
          </w:p>
        </w:tc>
      </w:tr>
    </w:tbl>
    <w:p>
      <w:pPr>
        <w:pStyle w:val="BodyText"/>
        <w:bidi w:val="0"/>
        <w:rPr/>
      </w:pPr>
      <w:r>
        <w:rPr/>
        <w:t>These 3,000-draw bootstrap diagnostics resample the same project series in each pair. With only three independent groups and multiple descriptive comparisons, they do not establish significance. They must not be interpreted as act-level confidence intervals.</w:t>
      </w:r>
    </w:p>
    <w:p>
      <w:pPr>
        <w:pStyle w:val="BodyText"/>
        <w:bidi w:val="0"/>
        <w:rPr/>
      </w:pPr>
      <w:r>
        <w:rPr/>
        <w:t xml:space="preserve">Paired differences between the new primary pipeline and every matched alternative are also retained in </w:t>
      </w:r>
      <w:r>
        <w:rPr>
          <w:rStyle w:val="SourceText"/>
        </w:rPr>
        <w:t>evaluation/classifier_comparison/paired_bootstrap_primary.json</w:t>
      </w:r>
      <w:r>
        <w:rPr/>
        <w:t>.</w:t>
      </w:r>
    </w:p>
    <w:p>
      <w:pPr>
        <w:pStyle w:val="Heading2"/>
        <w:bidi w:val="0"/>
        <w:rPr/>
      </w:pPr>
      <w:r>
        <w:rPr/>
        <w:t>Reproduce</w:t>
      </w:r>
    </w:p>
    <w:p>
      <w:pPr>
        <w:pStyle w:val="BodyText"/>
        <w:bidi w:val="0"/>
        <w:rPr/>
      </w:pPr>
      <w:r>
        <w:rPr/>
        <w:t>After preparing the original pilot and v2 train-fitted vectorizers:</w:t>
      </w:r>
    </w:p>
    <w:p>
      <w:pPr>
        <w:pStyle w:val="PreformattedText"/>
        <w:bidi w:val="0"/>
        <w:rPr/>
      </w:pPr>
      <w:r>
        <w:rPr>
          <w:rStyle w:val="SourceText"/>
        </w:rPr>
        <w:t>OPENBLAS_NUM_THREADS=2 OMP_NUM_THREADS=2 .venv/bin/python scripts/compare_discussion_models.py</w:t>
      </w:r>
    </w:p>
    <w:p>
      <w:pPr>
        <w:pStyle w:val="PreformattedText"/>
        <w:bidi w:val="0"/>
        <w:rPr/>
      </w:pPr>
      <w:r>
        <w:rPr>
          <w:rStyle w:val="SourceText"/>
        </w:rPr>
        <w:t>OPENBLAS_NUM_THREADS=2 OMP_NUM_THREADS=2 .venv/bin/python scripts/compare_discussion_models.py --evaluate</w:t>
      </w:r>
    </w:p>
    <w:p>
      <w:pPr>
        <w:pStyle w:val="PreformattedText"/>
        <w:bidi w:val="0"/>
        <w:spacing w:before="0" w:after="283"/>
        <w:rPr/>
      </w:pPr>
      <w:r>
        <w:rPr>
          <w:rStyle w:val="SourceText"/>
        </w:rPr>
        <w:t>MPLCONFIGDIR=/tmp/influenceiq-mpl .venv/bin/python scripts/report_classifier_comparison.py</w:t>
      </w:r>
    </w:p>
    <w:p>
      <w:pPr>
        <w:pStyle w:val="BodyText"/>
        <w:bidi w:val="0"/>
        <w:spacing w:before="0" w:after="283"/>
        <w:rPr/>
      </w:pPr>
      <w:r>
        <w:rPr/>
        <w:t xml:space="preserve">The protocol, complete development search, frozen selection, comparison CSV, source/model hashes and per-group/meeting scores are in </w:t>
      </w:r>
      <w:r>
        <w:rPr>
          <w:rStyle w:val="SourceText"/>
        </w:rPr>
        <w:t>evaluation/classifier_comparison/</w:t>
      </w:r>
      <w:r>
        <w:rPr/>
        <w:t xml:space="preserve">. Trained models and row-level predictions are in </w:t>
      </w:r>
      <w:r>
        <w:rPr>
          <w:rStyle w:val="SourceText"/>
        </w:rPr>
        <w:t>.runtime/research-classifier-comparison/</w:t>
      </w:r>
      <w:r>
        <w:rPr/>
        <w:t>. No additional dependencies or model downloads are required.</w:t>
      </w:r>
    </w:p>
    <w:sectPr>
      <w:type w:val="nextPage"/>
      <w:pgSz w:w="11906" w:h="16838"/>
      <w:pgMar w:left="1134" w:right="1134" w:gutter="0" w:header="0" w:top="1134" w:footer="0" w:bottom="1134"/>
      <w:pgNumType w:fmt="decimal"/>
      <w:formProt w:val="false"/>
      <w:textDirection w:val="lrTb"/>
      <w:docGrid w:type="default" w:linePitch="600" w:charSpace="36864"/>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Noto Serif">
    <w:charset w:val="01"/>
    <w:family w:val="roman"/>
    <w:pitch w:val="variable"/>
  </w:font>
  <w:font w:name="Liberation Serif">
    <w:altName w:val="Times New Roman"/>
    <w:charset w:val="01"/>
    <w:family w:val="auto"/>
    <w:pitch w:val="default"/>
  </w:font>
  <w:font w:name="OpenSymbol">
    <w:altName w:val="Arial Unicode MS"/>
    <w:charset w:val="02"/>
    <w:family w:val="auto"/>
    <w:pitch w:val="default"/>
  </w:font>
  <w:font w:name="Noto Sans Mono">
    <w:charset w:val="01"/>
    <w:family w:val="modern"/>
    <w:pitch w:val="fixed"/>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view w:val="web"/>
  <w:zoom w:percent="100"/>
  <w:defaultTabStop w:val="1134"/>
  <w:autoHyphenation w:val="true"/>
  <w:hyphenationZone w:val="0"/>
  <w:compat>
    <w:adjustLineHeightInTable/>
    <w:doNotUseHTMLParagraphAutoSpacing/>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Noto Serif" w:hAnsi="Noto Serif" w:eastAsia="Noto Sans" w:cs="FreeSans"/>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Liberation Serif" w:cs="Liberation Serif"/>
      <w:color w:val="auto"/>
      <w:sz w:val="22"/>
      <w:szCs w:val="22"/>
      <w:lang w:val="en-US" w:eastAsia="zh-CN" w:bidi="hi-IN"/>
    </w:rPr>
  </w:style>
  <w:style w:type="paragraph" w:styleId="Heading1">
    <w:name w:val="heading 1"/>
    <w:basedOn w:val="Heading"/>
    <w:next w:val="BodyText"/>
    <w:qFormat/>
    <w:pPr>
      <w:keepNext w:val="true"/>
    </w:pPr>
    <w:rPr>
      <w:b/>
      <w:bCs/>
      <w:sz w:val="48"/>
      <w:szCs w:val="48"/>
    </w:rPr>
  </w:style>
  <w:style w:type="paragraph" w:styleId="Heading2">
    <w:name w:val="heading 2"/>
    <w:basedOn w:val="Heading"/>
    <w:next w:val="BodyText"/>
    <w:qFormat/>
    <w:pPr>
      <w:keepNext w:val="true"/>
      <w:spacing w:before="200" w:after="120"/>
      <w:outlineLvl w:val="1"/>
    </w:pPr>
    <w:rPr>
      <w:rFonts w:ascii="Noto Serif" w:hAnsi="Noto Serif" w:eastAsia="Noto Sans" w:cs="FreeSans"/>
      <w:b/>
      <w:bCs/>
      <w:sz w:val="36"/>
      <w:szCs w:val="36"/>
    </w:rPr>
  </w:style>
  <w:style w:type="paragraph" w:styleId="Heading3">
    <w:name w:val="heading 3"/>
    <w:basedOn w:val="Heading"/>
    <w:next w:val="BodyText"/>
    <w:qFormat/>
    <w:pPr>
      <w:keepNext w:val="true"/>
      <w:spacing w:before="140" w:after="120"/>
      <w:outlineLvl w:val="2"/>
    </w:pPr>
    <w:rPr>
      <w:rFonts w:ascii="Noto Serif" w:hAnsi="Noto Serif" w:eastAsia="Noto Sans" w:cs="FreeSans"/>
      <w:b/>
      <w:bCs/>
      <w:sz w:val="28"/>
      <w:szCs w:val="28"/>
    </w:rPr>
  </w:style>
  <w:style w:type="character" w:styleId="EndnoteReference">
    <w:name w:val="endnote reference"/>
    <w:rPr>
      <w:vertAlign w:val="superscript"/>
    </w:rPr>
  </w:style>
  <w:style w:type="character" w:styleId="FootnoteReference">
    <w:name w:val="footnote reference"/>
    <w:rPr>
      <w:vertAlign w:val="superscript"/>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Strong">
    <w:name w:val="Strong"/>
    <w:qFormat/>
    <w:rPr>
      <w:b/>
      <w:bCs/>
    </w:rPr>
  </w:style>
  <w:style w:type="character" w:styleId="Bullets">
    <w:name w:val="Bullets"/>
    <w:qFormat/>
    <w:rPr>
      <w:rFonts w:ascii="OpenSymbol" w:hAnsi="OpenSymbol" w:eastAsia="OpenSymbol" w:cs="OpenSymbol"/>
    </w:rPr>
  </w:style>
  <w:style w:type="character" w:styleId="SourceText">
    <w:name w:val="Source Text"/>
    <w:qFormat/>
    <w:rPr>
      <w:rFonts w:ascii="Noto Sans Mono" w:hAnsi="Noto Sans Mono" w:eastAsia="Noto Sans Mono" w:cs="Noto Sans Mono"/>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rPr/>
  </w:style>
  <w:style w:type="paragraph" w:styleId="Index">
    <w:name w:val="Index"/>
    <w:basedOn w:val="Normal"/>
    <w:qFormat/>
    <w:pPr>
      <w:suppressLineNumbers/>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List">
    <w:name w:val="List"/>
    <w:basedOn w:val="BodyText"/>
    <w:pPr/>
    <w:rPr>
      <w:rFonts w:cs="FreeSans"/>
    </w:rPr>
  </w:style>
  <w:style w:type="paragraph" w:styleId="BodyText">
    <w:name w:val="Body Text"/>
    <w:basedOn w:val="Normal"/>
    <w:pPr>
      <w:spacing w:before="0" w:after="283"/>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PreformattedText">
    <w:name w:val="Preformatted Text"/>
    <w:basedOn w:val="Normal"/>
    <w:qFormat/>
    <w:pPr>
      <w:spacing w:before="0" w:after="0"/>
    </w:pPr>
    <w:rPr>
      <w:rFonts w:ascii="Noto Sans Mono" w:hAnsi="Noto Sans Mono" w:eastAsia="Noto Sans Mono" w:cs="Noto Sans Mono"/>
      <w:sz w:val="18"/>
      <w:szCs w:val="18"/>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scikit-learn.org/1.6/auto_examples/text/plot_document_classification_20newsgroups.html" TargetMode="External"/><Relationship Id="rId3" Type="http://schemas.openxmlformats.org/officeDocument/2006/relationships/hyperlink" Target="https://scikit-learn.org/1.6/modules/generated/sklearn.calibration.CalibratedClassifierCV.html" TargetMode="External"/><Relationship Id="rId4" Type="http://schemas.openxmlformats.org/officeDocument/2006/relationships/image" Target="media/image1.png"/><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LibreOffice/26.8.0.3$Linux_X86_64 LibreOffice_project/680$Build-3</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

<file path=docProps/custom.xml><?xml version="1.0" encoding="utf-8"?>
<Properties xmlns="http://schemas.openxmlformats.org/officeDocument/2006/custom-properties" xmlns:vt="http://schemas.openxmlformats.org/officeDocument/2006/docPropsVTypes"/>
</file>