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Comparative metrics and ablation study</w:t>
      </w:r>
    </w:p>
    <w:p>
      <w:pPr>
        <w:pStyle w:val="BodyText"/>
        <w:bidi w:val="0"/>
        <w:rPr/>
      </w:pPr>
      <w:r>
        <w:rPr/>
        <w:t>All numeric results below are computed from saved observations. No additional model inference or human annotations were invented. CSV and JSON companions support reproduction and later analysis.</w:t>
      </w:r>
    </w:p>
    <w:p>
      <w:pPr>
        <w:pStyle w:val="Heading2"/>
        <w:bidi w:val="0"/>
        <w:rPr/>
      </w:pPr>
      <w:r>
        <w:rPr/>
        <w:t>Metrics and availability</w:t>
      </w:r>
    </w:p>
    <w:tbl>
      <w:tblPr>
        <w:tblW w:w="11339" w:type="dxa"/>
        <w:jc w:val="start"/>
        <w:tblInd w:w="0" w:type="dxa"/>
        <w:tblLayout w:type="fixed"/>
        <w:tblCellMar>
          <w:top w:w="28" w:type="dxa"/>
          <w:start w:w="28" w:type="dxa"/>
          <w:bottom w:w="28" w:type="dxa"/>
          <w:end w:w="28" w:type="dxa"/>
        </w:tblCellMar>
      </w:tblPr>
      <w:tblGrid>
        <w:gridCol w:w="1991"/>
        <w:gridCol w:w="4757"/>
        <w:gridCol w:w="4591"/>
      </w:tblGrid>
      <w:tr>
        <w:trPr>
          <w:tblHeader w:val="true"/>
        </w:trPr>
        <w:tc>
          <w:tcPr>
            <w:tcW w:w="1991" w:type="dxa"/>
            <w:tcBorders/>
            <w:vAlign w:val="center"/>
          </w:tcPr>
          <w:p>
            <w:pPr>
              <w:pStyle w:val="TableHeading"/>
              <w:suppressLineNumbers/>
              <w:bidi w:val="0"/>
              <w:spacing w:before="0" w:after="283"/>
              <w:jc w:val="center"/>
              <w:rPr/>
            </w:pPr>
            <w:r>
              <w:rPr/>
              <w:t>Component</w:t>
            </w:r>
          </w:p>
        </w:tc>
        <w:tc>
          <w:tcPr>
            <w:tcW w:w="4757" w:type="dxa"/>
            <w:tcBorders/>
            <w:vAlign w:val="center"/>
          </w:tcPr>
          <w:p>
            <w:pPr>
              <w:pStyle w:val="TableHeading"/>
              <w:suppressLineNumbers/>
              <w:bidi w:val="0"/>
              <w:spacing w:before="0" w:after="283"/>
              <w:jc w:val="center"/>
              <w:rPr/>
            </w:pPr>
            <w:r>
              <w:rPr/>
              <w:t>Metrics</w:t>
            </w:r>
          </w:p>
        </w:tc>
        <w:tc>
          <w:tcPr>
            <w:tcW w:w="4591" w:type="dxa"/>
            <w:tcBorders/>
            <w:vAlign w:val="center"/>
          </w:tcPr>
          <w:p>
            <w:pPr>
              <w:pStyle w:val="TableHeading"/>
              <w:suppressLineNumbers/>
              <w:bidi w:val="0"/>
              <w:spacing w:before="0" w:after="283"/>
              <w:jc w:val="center"/>
              <w:rPr/>
            </w:pPr>
            <w:r>
              <w:rPr/>
              <w:t>Current evidence</w:t>
            </w:r>
          </w:p>
        </w:tc>
      </w:tr>
      <w:tr>
        <w:trPr/>
        <w:tc>
          <w:tcPr>
            <w:tcW w:w="1991" w:type="dxa"/>
            <w:tcBorders/>
            <w:vAlign w:val="center"/>
          </w:tcPr>
          <w:p>
            <w:pPr>
              <w:pStyle w:val="TableContents"/>
              <w:bidi w:val="0"/>
              <w:spacing w:before="0" w:after="283"/>
              <w:rPr/>
            </w:pPr>
            <w:r>
              <w:rPr/>
              <w:t>Speech recognition</w:t>
            </w:r>
          </w:p>
        </w:tc>
        <w:tc>
          <w:tcPr>
            <w:tcW w:w="4757" w:type="dxa"/>
            <w:tcBorders/>
            <w:vAlign w:val="center"/>
          </w:tcPr>
          <w:p>
            <w:pPr>
              <w:pStyle w:val="TableContents"/>
              <w:bidi w:val="0"/>
              <w:spacing w:before="0" w:after="283"/>
              <w:rPr/>
            </w:pPr>
            <w:r>
              <w:rPr/>
              <w:t>WER, CER; substitutions/deletions/insertions; paired error differences</w:t>
            </w:r>
          </w:p>
        </w:tc>
        <w:tc>
          <w:tcPr>
            <w:tcW w:w="4591" w:type="dxa"/>
            <w:tcBorders/>
            <w:vAlign w:val="center"/>
          </w:tcPr>
          <w:p>
            <w:pPr>
              <w:pStyle w:val="TableContents"/>
              <w:bidi w:val="0"/>
              <w:spacing w:before="0" w:after="283"/>
              <w:rPr/>
            </w:pPr>
            <w:r>
              <w:rPr/>
              <w:t>Measured English AMI and Hindi/Hinglish public pilots</w:t>
            </w:r>
          </w:p>
        </w:tc>
      </w:tr>
      <w:tr>
        <w:trPr/>
        <w:tc>
          <w:tcPr>
            <w:tcW w:w="1991" w:type="dxa"/>
            <w:tcBorders/>
            <w:vAlign w:val="center"/>
          </w:tcPr>
          <w:p>
            <w:pPr>
              <w:pStyle w:val="TableContents"/>
              <w:bidi w:val="0"/>
              <w:spacing w:before="0" w:after="283"/>
              <w:rPr/>
            </w:pPr>
            <w:r>
              <w:rPr/>
              <w:t>Speaker diarization</w:t>
            </w:r>
          </w:p>
        </w:tc>
        <w:tc>
          <w:tcPr>
            <w:tcW w:w="4757" w:type="dxa"/>
            <w:tcBorders/>
            <w:vAlign w:val="center"/>
          </w:tcPr>
          <w:p>
            <w:pPr>
              <w:pStyle w:val="TableContents"/>
              <w:bidi w:val="0"/>
              <w:spacing w:before="0" w:after="283"/>
              <w:rPr/>
            </w:pPr>
            <w:r>
              <w:rPr/>
              <w:t>DER, missed/false-alarm/confusion components, JER</w:t>
            </w:r>
          </w:p>
        </w:tc>
        <w:tc>
          <w:tcPr>
            <w:tcW w:w="4591" w:type="dxa"/>
            <w:tcBorders/>
            <w:vAlign w:val="center"/>
          </w:tcPr>
          <w:p>
            <w:pPr>
              <w:pStyle w:val="TableContents"/>
              <w:bidi w:val="0"/>
              <w:spacing w:before="0" w:after="283"/>
              <w:rPr/>
            </w:pPr>
            <w:r>
              <w:rPr/>
              <w:t>Measured on two held-out AMI excerpts</w:t>
            </w:r>
          </w:p>
        </w:tc>
      </w:tr>
      <w:tr>
        <w:trPr/>
        <w:tc>
          <w:tcPr>
            <w:tcW w:w="1991" w:type="dxa"/>
            <w:tcBorders/>
            <w:vAlign w:val="center"/>
          </w:tcPr>
          <w:p>
            <w:pPr>
              <w:pStyle w:val="TableContents"/>
              <w:bidi w:val="0"/>
              <w:spacing w:before="0" w:after="283"/>
              <w:rPr/>
            </w:pPr>
            <w:r>
              <w:rPr/>
              <w:t>Speech activity</w:t>
            </w:r>
          </w:p>
        </w:tc>
        <w:tc>
          <w:tcPr>
            <w:tcW w:w="4757" w:type="dxa"/>
            <w:tcBorders/>
            <w:vAlign w:val="center"/>
          </w:tcPr>
          <w:p>
            <w:pPr>
              <w:pStyle w:val="TableContents"/>
              <w:bidi w:val="0"/>
              <w:spacing w:before="0" w:after="283"/>
              <w:rPr/>
            </w:pPr>
            <w:r>
              <w:rPr/>
              <w:t>Union-of-speech precision, recall and F1</w:t>
            </w:r>
          </w:p>
        </w:tc>
        <w:tc>
          <w:tcPr>
            <w:tcW w:w="4591" w:type="dxa"/>
            <w:tcBorders/>
            <w:vAlign w:val="center"/>
          </w:tcPr>
          <w:p>
            <w:pPr>
              <w:pStyle w:val="TableContents"/>
              <w:bidi w:val="0"/>
              <w:spacing w:before="0" w:after="283"/>
              <w:rPr/>
            </w:pPr>
            <w:r>
              <w:rPr/>
              <w:t>Measured from the same diarization output; ignores identity</w:t>
            </w:r>
          </w:p>
        </w:tc>
      </w:tr>
      <w:tr>
        <w:trPr/>
        <w:tc>
          <w:tcPr>
            <w:tcW w:w="1991" w:type="dxa"/>
            <w:tcBorders/>
            <w:vAlign w:val="center"/>
          </w:tcPr>
          <w:p>
            <w:pPr>
              <w:pStyle w:val="TableContents"/>
              <w:bidi w:val="0"/>
              <w:spacing w:before="0" w:after="283"/>
              <w:rPr/>
            </w:pPr>
            <w:r>
              <w:rPr/>
              <w:t>Speaker count</w:t>
            </w:r>
          </w:p>
        </w:tc>
        <w:tc>
          <w:tcPr>
            <w:tcW w:w="4757" w:type="dxa"/>
            <w:tcBorders/>
            <w:vAlign w:val="center"/>
          </w:tcPr>
          <w:p>
            <w:pPr>
              <w:pStyle w:val="TableContents"/>
              <w:bidi w:val="0"/>
              <w:spacing w:before="0" w:after="283"/>
              <w:rPr/>
            </w:pPr>
            <w:r>
              <w:rPr/>
              <w:t>Absolute count error and meeting-averaged MAE</w:t>
            </w:r>
          </w:p>
        </w:tc>
        <w:tc>
          <w:tcPr>
            <w:tcW w:w="4591" w:type="dxa"/>
            <w:tcBorders/>
            <w:vAlign w:val="center"/>
          </w:tcPr>
          <w:p>
            <w:pPr>
              <w:pStyle w:val="TableContents"/>
              <w:bidi w:val="0"/>
              <w:spacing w:before="0" w:after="283"/>
              <w:rPr/>
            </w:pPr>
            <w:r>
              <w:rPr/>
              <w:t>Measured on the same two excerpts</w:t>
            </w:r>
          </w:p>
        </w:tc>
      </w:tr>
      <w:tr>
        <w:trPr/>
        <w:tc>
          <w:tcPr>
            <w:tcW w:w="1991" w:type="dxa"/>
            <w:tcBorders/>
            <w:vAlign w:val="center"/>
          </w:tcPr>
          <w:p>
            <w:pPr>
              <w:pStyle w:val="TableContents"/>
              <w:bidi w:val="0"/>
              <w:spacing w:before="0" w:after="283"/>
              <w:rPr/>
            </w:pPr>
            <w:r>
              <w:rPr/>
              <w:t>Slide alignment</w:t>
            </w:r>
          </w:p>
        </w:tc>
        <w:tc>
          <w:tcPr>
            <w:tcW w:w="4757" w:type="dxa"/>
            <w:tcBorders/>
            <w:vAlign w:val="center"/>
          </w:tcPr>
          <w:p>
            <w:pPr>
              <w:pStyle w:val="TableContents"/>
              <w:bidi w:val="0"/>
              <w:spacing w:before="0" w:after="283"/>
              <w:rPr/>
            </w:pPr>
            <w:r>
              <w:rPr/>
              <w:t>Precision, recall, F1</w:t>
            </w:r>
          </w:p>
        </w:tc>
        <w:tc>
          <w:tcPr>
            <w:tcW w:w="4591" w:type="dxa"/>
            <w:tcBorders/>
            <w:vAlign w:val="center"/>
          </w:tcPr>
          <w:p>
            <w:pPr>
              <w:pStyle w:val="TableContents"/>
              <w:bidi w:val="0"/>
              <w:spacing w:before="0" w:after="283"/>
              <w:rPr/>
            </w:pPr>
            <w:r>
              <w:rPr/>
              <w:t>Implemented; independent reference slide IDs needed</w:t>
            </w:r>
          </w:p>
        </w:tc>
      </w:tr>
      <w:tr>
        <w:trPr/>
        <w:tc>
          <w:tcPr>
            <w:tcW w:w="1991" w:type="dxa"/>
            <w:tcBorders/>
            <w:vAlign w:val="center"/>
          </w:tcPr>
          <w:p>
            <w:pPr>
              <w:pStyle w:val="TableContents"/>
              <w:bidi w:val="0"/>
              <w:spacing w:before="0" w:after="283"/>
              <w:rPr/>
            </w:pPr>
            <w:r>
              <w:rPr/>
              <w:t>Event candidates</w:t>
            </w:r>
          </w:p>
        </w:tc>
        <w:tc>
          <w:tcPr>
            <w:tcW w:w="4757" w:type="dxa"/>
            <w:tcBorders/>
            <w:vAlign w:val="center"/>
          </w:tcPr>
          <w:p>
            <w:pPr>
              <w:pStyle w:val="TableContents"/>
              <w:bidi w:val="0"/>
              <w:spacing w:before="0" w:after="283"/>
              <w:rPr/>
            </w:pPr>
            <w:r>
              <w:rPr/>
              <w:t>Precision, recall, F1 by event type</w:t>
            </w:r>
          </w:p>
        </w:tc>
        <w:tc>
          <w:tcPr>
            <w:tcW w:w="4591" w:type="dxa"/>
            <w:tcBorders/>
            <w:vAlign w:val="center"/>
          </w:tcPr>
          <w:p>
            <w:pPr>
              <w:pStyle w:val="TableContents"/>
              <w:bidi w:val="0"/>
              <w:spacing w:before="0" w:after="283"/>
              <w:rPr/>
            </w:pPr>
            <w:r>
              <w:rPr/>
              <w:t>Implemented; independent reference events needed</w:t>
            </w:r>
          </w:p>
        </w:tc>
      </w:tr>
      <w:tr>
        <w:trPr/>
        <w:tc>
          <w:tcPr>
            <w:tcW w:w="1991" w:type="dxa"/>
            <w:tcBorders/>
            <w:vAlign w:val="center"/>
          </w:tcPr>
          <w:p>
            <w:pPr>
              <w:pStyle w:val="TableContents"/>
              <w:bidi w:val="0"/>
              <w:spacing w:before="0" w:after="283"/>
              <w:rPr/>
            </w:pPr>
            <w:r>
              <w:rPr/>
              <w:t>Decisions and lineage</w:t>
            </w:r>
          </w:p>
        </w:tc>
        <w:tc>
          <w:tcPr>
            <w:tcW w:w="4757" w:type="dxa"/>
            <w:tcBorders/>
            <w:vAlign w:val="center"/>
          </w:tcPr>
          <w:p>
            <w:pPr>
              <w:pStyle w:val="TableContents"/>
              <w:bidi w:val="0"/>
              <w:spacing w:before="0" w:after="283"/>
              <w:rPr/>
            </w:pPr>
            <w:r>
              <w:rPr/>
              <w:t>Decision P/R/F1; node/edge P/R/F1</w:t>
            </w:r>
          </w:p>
        </w:tc>
        <w:tc>
          <w:tcPr>
            <w:tcW w:w="4591" w:type="dxa"/>
            <w:tcBorders/>
            <w:vAlign w:val="center"/>
          </w:tcPr>
          <w:p>
            <w:pPr>
              <w:pStyle w:val="TableContents"/>
              <w:bidi w:val="0"/>
              <w:spacing w:before="0" w:after="283"/>
              <w:rPr/>
            </w:pPr>
            <w:r>
              <w:rPr/>
              <w:t>Implemented; independent references needed</w:t>
            </w:r>
          </w:p>
        </w:tc>
      </w:tr>
      <w:tr>
        <w:trPr/>
        <w:tc>
          <w:tcPr>
            <w:tcW w:w="1991" w:type="dxa"/>
            <w:tcBorders/>
            <w:vAlign w:val="center"/>
          </w:tcPr>
          <w:p>
            <w:pPr>
              <w:pStyle w:val="TableContents"/>
              <w:bidi w:val="0"/>
              <w:spacing w:before="0" w:after="283"/>
              <w:rPr/>
            </w:pPr>
            <w:r>
              <w:rPr/>
              <w:t>Influence ranking</w:t>
            </w:r>
          </w:p>
        </w:tc>
        <w:tc>
          <w:tcPr>
            <w:tcW w:w="4757" w:type="dxa"/>
            <w:tcBorders/>
            <w:vAlign w:val="center"/>
          </w:tcPr>
          <w:p>
            <w:pPr>
              <w:pStyle w:val="TableContents"/>
              <w:bidi w:val="0"/>
              <w:spacing w:before="0" w:after="283"/>
              <w:rPr/>
            </w:pPr>
            <w:r>
              <w:rPr/>
              <w:t>Spearman and Kendall against human ratings</w:t>
            </w:r>
          </w:p>
        </w:tc>
        <w:tc>
          <w:tcPr>
            <w:tcW w:w="4591" w:type="dxa"/>
            <w:tcBorders/>
            <w:vAlign w:val="center"/>
          </w:tcPr>
          <w:p>
            <w:pPr>
              <w:pStyle w:val="TableContents"/>
              <w:bidi w:val="0"/>
              <w:spacing w:before="0" w:after="283"/>
              <w:rPr/>
            </w:pPr>
            <w:r>
              <w:rPr/>
              <w:t>Implemented; independent ratings needed</w:t>
            </w:r>
          </w:p>
        </w:tc>
      </w:tr>
      <w:tr>
        <w:trPr/>
        <w:tc>
          <w:tcPr>
            <w:tcW w:w="1991" w:type="dxa"/>
            <w:tcBorders/>
            <w:vAlign w:val="center"/>
          </w:tcPr>
          <w:p>
            <w:pPr>
              <w:pStyle w:val="TableContents"/>
              <w:bidi w:val="0"/>
              <w:spacing w:before="0" w:after="283"/>
              <w:rPr/>
            </w:pPr>
            <w:r>
              <w:rPr/>
              <w:t>Efficiency</w:t>
            </w:r>
          </w:p>
        </w:tc>
        <w:tc>
          <w:tcPr>
            <w:tcW w:w="4757" w:type="dxa"/>
            <w:tcBorders/>
            <w:vAlign w:val="center"/>
          </w:tcPr>
          <w:p>
            <w:pPr>
              <w:pStyle w:val="TableContents"/>
              <w:bidi w:val="0"/>
              <w:spacing w:before="0" w:after="283"/>
              <w:rPr/>
            </w:pPr>
            <w:r>
              <w:rPr/>
              <w:t>Stage runtime, RTF, process RSS</w:t>
            </w:r>
          </w:p>
        </w:tc>
        <w:tc>
          <w:tcPr>
            <w:tcW w:w="4591" w:type="dxa"/>
            <w:tcBorders/>
            <w:vAlign w:val="center"/>
          </w:tcPr>
          <w:p>
            <w:pPr>
              <w:pStyle w:val="TableContents"/>
              <w:bidi w:val="0"/>
              <w:spacing w:before="0" w:after="283"/>
              <w:rPr/>
            </w:pPr>
            <w:r>
              <w:rPr/>
              <w:t>Existing runs measured; cache/concurrency scopes must be respected</w:t>
            </w:r>
          </w:p>
        </w:tc>
      </w:tr>
      <w:tr>
        <w:trPr/>
        <w:tc>
          <w:tcPr>
            <w:tcW w:w="1991" w:type="dxa"/>
            <w:tcBorders/>
            <w:vAlign w:val="center"/>
          </w:tcPr>
          <w:p>
            <w:pPr>
              <w:pStyle w:val="TableContents"/>
              <w:bidi w:val="0"/>
              <w:spacing w:before="0" w:after="283"/>
              <w:rPr/>
            </w:pPr>
            <w:r>
              <w:rPr/>
              <w:t>Functional correctness</w:t>
            </w:r>
          </w:p>
        </w:tc>
        <w:tc>
          <w:tcPr>
            <w:tcW w:w="4757" w:type="dxa"/>
            <w:tcBorders/>
            <w:vAlign w:val="center"/>
          </w:tcPr>
          <w:p>
            <w:pPr>
              <w:pStyle w:val="TableContents"/>
              <w:bidi w:val="0"/>
              <w:spacing w:before="0" w:after="283"/>
              <w:rPr/>
            </w:pPr>
            <w:r>
              <w:rPr/>
              <w:t>API, browser, Python and Android checks</w:t>
            </w:r>
          </w:p>
        </w:tc>
        <w:tc>
          <w:tcPr>
            <w:tcW w:w="4591" w:type="dxa"/>
            <w:tcBorders/>
            <w:vAlign w:val="center"/>
          </w:tcPr>
          <w:p>
            <w:pPr>
              <w:pStyle w:val="TableContents"/>
              <w:bidi w:val="0"/>
              <w:spacing w:before="0" w:after="283"/>
              <w:rPr/>
            </w:pPr>
            <w:r>
              <w:rPr/>
              <w:t>Functional tests, separate from model accuracy</w:t>
            </w:r>
          </w:p>
        </w:tc>
      </w:tr>
    </w:tbl>
    <w:p>
      <w:pPr>
        <w:pStyle w:val="Heading2"/>
        <w:bidi w:val="0"/>
        <w:rPr/>
      </w:pPr>
      <w:r>
        <w:rPr/>
        <w:t>Measured audio comparison</w:t>
      </w:r>
    </w:p>
    <w:tbl>
      <w:tblPr>
        <w:tblW w:w="9520" w:type="dxa"/>
        <w:jc w:val="start"/>
        <w:tblInd w:w="0" w:type="dxa"/>
        <w:tblLayout w:type="fixed"/>
        <w:tblCellMar>
          <w:top w:w="28" w:type="dxa"/>
          <w:start w:w="28" w:type="dxa"/>
          <w:bottom w:w="28" w:type="dxa"/>
          <w:end w:w="28" w:type="dxa"/>
        </w:tblCellMar>
      </w:tblPr>
      <w:tblGrid>
        <w:gridCol w:w="1286"/>
        <w:gridCol w:w="847"/>
        <w:gridCol w:w="764"/>
        <w:gridCol w:w="1370"/>
        <w:gridCol w:w="1387"/>
        <w:gridCol w:w="1493"/>
        <w:gridCol w:w="2373"/>
      </w:tblGrid>
      <w:tr>
        <w:trPr>
          <w:tblHeader w:val="true"/>
        </w:trPr>
        <w:tc>
          <w:tcPr>
            <w:tcW w:w="1286" w:type="dxa"/>
            <w:tcBorders/>
            <w:vAlign w:val="center"/>
          </w:tcPr>
          <w:p>
            <w:pPr>
              <w:pStyle w:val="TableHeading"/>
              <w:suppressLineNumbers/>
              <w:bidi w:val="0"/>
              <w:spacing w:before="0" w:after="283"/>
              <w:jc w:val="center"/>
              <w:rPr/>
            </w:pPr>
            <w:r>
              <w:rPr/>
              <w:t>Threshold</w:t>
            </w:r>
          </w:p>
        </w:tc>
        <w:tc>
          <w:tcPr>
            <w:tcW w:w="847" w:type="dxa"/>
            <w:tcBorders/>
            <w:vAlign w:val="center"/>
          </w:tcPr>
          <w:p>
            <w:pPr>
              <w:pStyle w:val="TableHeading"/>
              <w:suppressLineNumbers/>
              <w:bidi w:val="0"/>
              <w:spacing w:before="0" w:after="283"/>
              <w:jc w:val="center"/>
              <w:rPr/>
            </w:pPr>
            <w:r>
              <w:rPr/>
              <w:t>DER %</w:t>
            </w:r>
          </w:p>
        </w:tc>
        <w:tc>
          <w:tcPr>
            <w:tcW w:w="764" w:type="dxa"/>
            <w:tcBorders/>
            <w:vAlign w:val="center"/>
          </w:tcPr>
          <w:p>
            <w:pPr>
              <w:pStyle w:val="TableHeading"/>
              <w:suppressLineNumbers/>
              <w:bidi w:val="0"/>
              <w:spacing w:before="0" w:after="283"/>
              <w:jc w:val="center"/>
              <w:rPr/>
            </w:pPr>
            <w:r>
              <w:rPr/>
              <w:t>JER %</w:t>
            </w:r>
          </w:p>
        </w:tc>
        <w:tc>
          <w:tcPr>
            <w:tcW w:w="1370" w:type="dxa"/>
            <w:tcBorders/>
            <w:vAlign w:val="center"/>
          </w:tcPr>
          <w:p>
            <w:pPr>
              <w:pStyle w:val="TableHeading"/>
              <w:suppressLineNumbers/>
              <w:bidi w:val="0"/>
              <w:spacing w:before="0" w:after="283"/>
              <w:jc w:val="center"/>
              <w:rPr/>
            </w:pPr>
            <w:r>
              <w:rPr/>
              <w:t>Speech P %</w:t>
            </w:r>
          </w:p>
        </w:tc>
        <w:tc>
          <w:tcPr>
            <w:tcW w:w="1387" w:type="dxa"/>
            <w:tcBorders/>
            <w:vAlign w:val="center"/>
          </w:tcPr>
          <w:p>
            <w:pPr>
              <w:pStyle w:val="TableHeading"/>
              <w:suppressLineNumbers/>
              <w:bidi w:val="0"/>
              <w:spacing w:before="0" w:after="283"/>
              <w:jc w:val="center"/>
              <w:rPr/>
            </w:pPr>
            <w:r>
              <w:rPr/>
              <w:t>Speech R %</w:t>
            </w:r>
          </w:p>
        </w:tc>
        <w:tc>
          <w:tcPr>
            <w:tcW w:w="1493" w:type="dxa"/>
            <w:tcBorders/>
            <w:vAlign w:val="center"/>
          </w:tcPr>
          <w:p>
            <w:pPr>
              <w:pStyle w:val="TableHeading"/>
              <w:suppressLineNumbers/>
              <w:bidi w:val="0"/>
              <w:spacing w:before="0" w:after="283"/>
              <w:jc w:val="center"/>
              <w:rPr/>
            </w:pPr>
            <w:r>
              <w:rPr/>
              <w:t>Speech F1 %</w:t>
            </w:r>
          </w:p>
        </w:tc>
        <w:tc>
          <w:tcPr>
            <w:tcW w:w="2373" w:type="dxa"/>
            <w:tcBorders/>
            <w:vAlign w:val="center"/>
          </w:tcPr>
          <w:p>
            <w:pPr>
              <w:pStyle w:val="TableHeading"/>
              <w:suppressLineNumbers/>
              <w:bidi w:val="0"/>
              <w:spacing w:before="0" w:after="283"/>
              <w:jc w:val="center"/>
              <w:rPr/>
            </w:pPr>
            <w:r>
              <w:rPr/>
              <w:t>Speaker count MAE</w:t>
            </w:r>
          </w:p>
        </w:tc>
      </w:tr>
      <w:tr>
        <w:trPr/>
        <w:tc>
          <w:tcPr>
            <w:tcW w:w="1286" w:type="dxa"/>
            <w:tcBorders/>
            <w:vAlign w:val="center"/>
          </w:tcPr>
          <w:p>
            <w:pPr>
              <w:pStyle w:val="TableContents"/>
              <w:bidi w:val="0"/>
              <w:spacing w:before="0" w:after="283"/>
              <w:rPr/>
            </w:pPr>
            <w:r>
              <w:rPr/>
              <w:t>0.5</w:t>
            </w:r>
          </w:p>
        </w:tc>
        <w:tc>
          <w:tcPr>
            <w:tcW w:w="847" w:type="dxa"/>
            <w:tcBorders/>
            <w:vAlign w:val="center"/>
          </w:tcPr>
          <w:p>
            <w:pPr>
              <w:pStyle w:val="TableContents"/>
              <w:bidi w:val="0"/>
              <w:spacing w:before="0" w:after="283"/>
              <w:rPr/>
            </w:pPr>
            <w:r>
              <w:rPr/>
              <w:t>64.08</w:t>
            </w:r>
          </w:p>
        </w:tc>
        <w:tc>
          <w:tcPr>
            <w:tcW w:w="764" w:type="dxa"/>
            <w:tcBorders/>
            <w:vAlign w:val="center"/>
          </w:tcPr>
          <w:p>
            <w:pPr>
              <w:pStyle w:val="TableContents"/>
              <w:bidi w:val="0"/>
              <w:spacing w:before="0" w:after="283"/>
              <w:rPr/>
            </w:pPr>
            <w:r>
              <w:rPr/>
              <w:t>69.60</w:t>
            </w:r>
          </w:p>
        </w:tc>
        <w:tc>
          <w:tcPr>
            <w:tcW w:w="1370" w:type="dxa"/>
            <w:tcBorders/>
            <w:vAlign w:val="center"/>
          </w:tcPr>
          <w:p>
            <w:pPr>
              <w:pStyle w:val="TableContents"/>
              <w:bidi w:val="0"/>
              <w:spacing w:before="0" w:after="283"/>
              <w:rPr/>
            </w:pPr>
            <w:r>
              <w:rPr/>
              <w:t>81.68</w:t>
            </w:r>
          </w:p>
        </w:tc>
        <w:tc>
          <w:tcPr>
            <w:tcW w:w="1387" w:type="dxa"/>
            <w:tcBorders/>
            <w:vAlign w:val="center"/>
          </w:tcPr>
          <w:p>
            <w:pPr>
              <w:pStyle w:val="TableContents"/>
              <w:bidi w:val="0"/>
              <w:spacing w:before="0" w:after="283"/>
              <w:rPr/>
            </w:pPr>
            <w:r>
              <w:rPr/>
              <w:t>90.57</w:t>
            </w:r>
          </w:p>
        </w:tc>
        <w:tc>
          <w:tcPr>
            <w:tcW w:w="1493" w:type="dxa"/>
            <w:tcBorders/>
            <w:vAlign w:val="center"/>
          </w:tcPr>
          <w:p>
            <w:pPr>
              <w:pStyle w:val="TableContents"/>
              <w:bidi w:val="0"/>
              <w:spacing w:before="0" w:after="283"/>
              <w:rPr/>
            </w:pPr>
            <w:r>
              <w:rPr/>
              <w:t>85.89</w:t>
            </w:r>
          </w:p>
        </w:tc>
        <w:tc>
          <w:tcPr>
            <w:tcW w:w="2373" w:type="dxa"/>
            <w:tcBorders/>
            <w:vAlign w:val="center"/>
          </w:tcPr>
          <w:p>
            <w:pPr>
              <w:pStyle w:val="TableContents"/>
              <w:bidi w:val="0"/>
              <w:spacing w:before="0" w:after="283"/>
              <w:rPr/>
            </w:pPr>
            <w:r>
              <w:rPr/>
              <w:t>8.50</w:t>
            </w:r>
          </w:p>
        </w:tc>
      </w:tr>
      <w:tr>
        <w:trPr/>
        <w:tc>
          <w:tcPr>
            <w:tcW w:w="1286" w:type="dxa"/>
            <w:tcBorders/>
            <w:vAlign w:val="center"/>
          </w:tcPr>
          <w:p>
            <w:pPr>
              <w:pStyle w:val="TableContents"/>
              <w:bidi w:val="0"/>
              <w:spacing w:before="0" w:after="283"/>
              <w:rPr/>
            </w:pPr>
            <w:r>
              <w:rPr/>
              <w:t>0.9</w:t>
            </w:r>
          </w:p>
        </w:tc>
        <w:tc>
          <w:tcPr>
            <w:tcW w:w="847" w:type="dxa"/>
            <w:tcBorders/>
            <w:vAlign w:val="center"/>
          </w:tcPr>
          <w:p>
            <w:pPr>
              <w:pStyle w:val="TableContents"/>
              <w:bidi w:val="0"/>
              <w:spacing w:before="0" w:after="283"/>
              <w:rPr/>
            </w:pPr>
            <w:r>
              <w:rPr/>
              <w:t>40.91</w:t>
            </w:r>
          </w:p>
        </w:tc>
        <w:tc>
          <w:tcPr>
            <w:tcW w:w="764" w:type="dxa"/>
            <w:tcBorders/>
            <w:vAlign w:val="center"/>
          </w:tcPr>
          <w:p>
            <w:pPr>
              <w:pStyle w:val="TableContents"/>
              <w:bidi w:val="0"/>
              <w:spacing w:before="0" w:after="283"/>
              <w:rPr/>
            </w:pPr>
            <w:r>
              <w:rPr/>
              <w:t>60.45</w:t>
            </w:r>
          </w:p>
        </w:tc>
        <w:tc>
          <w:tcPr>
            <w:tcW w:w="1370" w:type="dxa"/>
            <w:tcBorders/>
            <w:vAlign w:val="center"/>
          </w:tcPr>
          <w:p>
            <w:pPr>
              <w:pStyle w:val="TableContents"/>
              <w:bidi w:val="0"/>
              <w:spacing w:before="0" w:after="283"/>
              <w:rPr/>
            </w:pPr>
            <w:r>
              <w:rPr/>
              <w:t>81.70</w:t>
            </w:r>
          </w:p>
        </w:tc>
        <w:tc>
          <w:tcPr>
            <w:tcW w:w="1387" w:type="dxa"/>
            <w:tcBorders/>
            <w:vAlign w:val="center"/>
          </w:tcPr>
          <w:p>
            <w:pPr>
              <w:pStyle w:val="TableContents"/>
              <w:bidi w:val="0"/>
              <w:spacing w:before="0" w:after="283"/>
              <w:rPr/>
            </w:pPr>
            <w:r>
              <w:rPr/>
              <w:t>90.73</w:t>
            </w:r>
          </w:p>
        </w:tc>
        <w:tc>
          <w:tcPr>
            <w:tcW w:w="1493" w:type="dxa"/>
            <w:tcBorders/>
            <w:vAlign w:val="center"/>
          </w:tcPr>
          <w:p>
            <w:pPr>
              <w:pStyle w:val="TableContents"/>
              <w:bidi w:val="0"/>
              <w:spacing w:before="0" w:after="283"/>
              <w:rPr/>
            </w:pPr>
            <w:r>
              <w:rPr/>
              <w:t>85.98</w:t>
            </w:r>
          </w:p>
        </w:tc>
        <w:tc>
          <w:tcPr>
            <w:tcW w:w="2373" w:type="dxa"/>
            <w:tcBorders/>
            <w:vAlign w:val="center"/>
          </w:tcPr>
          <w:p>
            <w:pPr>
              <w:pStyle w:val="TableContents"/>
              <w:bidi w:val="0"/>
              <w:spacing w:before="0" w:after="283"/>
              <w:rPr/>
            </w:pPr>
            <w:r>
              <w:rPr/>
              <w:t>1.50</w:t>
            </w:r>
          </w:p>
        </w:tc>
      </w:tr>
    </w:tbl>
    <w:p>
      <w:pPr>
        <w:pStyle w:val="BodyText"/>
        <w:bidi w:val="0"/>
        <w:rPr/>
      </w:pPr>
      <w:r>
        <w:rPr/>
        <w:t xml:space="preserve">DER weights speaker-time, while JER averages reference-speaker errors; report both. Speech detection collapses identities to speech regions, so high speech F1 does not establish correct speakers. Count MAE also cannot establish correct attribution. The same 0.25-second collar and 120-second UEM are used. These are additional exploratory diagnostics; the original threshold was selected using development DER only. Definitions follow the </w:t>
      </w:r>
      <w:r>
        <w:fldChar w:fldCharType="begin"/>
      </w:r>
      <w:r>
        <w:rPr>
          <w:rStyle w:val="Hyperlink"/>
        </w:rPr>
        <w:instrText xml:space="preserve"> HYPERLINK "https://pyannote.github.io/pyannote-metrics/reference.html" \l "diarization"</w:instrText>
      </w:r>
      <w:r>
        <w:rPr>
          <w:rStyle w:val="Hyperlink"/>
        </w:rPr>
        <w:fldChar w:fldCharType="separate"/>
      </w:r>
      <w:r>
        <w:rPr>
          <w:rStyle w:val="Hyperlink"/>
        </w:rPr>
        <w:t>pyannote.metrics documentation</w:t>
      </w:r>
      <w:r>
        <w:rPr>
          <w:rStyle w:val="Hyperlink"/>
        </w:rPr>
        <w:fldChar w:fldCharType="end"/>
      </w:r>
      <w:r>
        <w:rPr/>
        <w:t>.</w:t>
      </w:r>
    </w:p>
    <w:p>
      <w:pPr>
        <w:pStyle w:val="BodyText"/>
        <w:bidi w:val="0"/>
        <w:rPr/>
      </w:pPr>
      <w:r>
        <w:rPr/>
        <w:t>The new comparison is visualised below.</w:t>
      </w:r>
    </w:p>
    <w:p>
      <w:pPr>
        <w:pStyle w:val="BodyText"/>
        <w:bidi w:val="0"/>
        <w:rPr/>
      </w:pPr>
      <w:r>
        <w:rPr/>
        <w:drawing>
          <wp:inline distT="0" distB="0" distL="0" distR="0">
            <wp:extent cx="5715000" cy="2133600"/>
            <wp:effectExtent l="0" t="0" r="0" b="0"/>
            <wp:docPr id="1" name="Image1" title="Audio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Audio diagnostics"/>
                    <pic:cNvPicPr>
                      <a:picLocks noChangeAspect="1" noChangeArrowheads="1"/>
                    </pic:cNvPicPr>
                  </pic:nvPicPr>
                  <pic:blipFill>
                    <a:blip r:embed="rId2"/>
                    <a:stretch>
                      <a:fillRect/>
                    </a:stretch>
                  </pic:blipFill>
                  <pic:spPr bwMode="auto">
                    <a:xfrm>
                      <a:off x="0" y="0"/>
                      <a:ext cx="5715000" cy="2133600"/>
                    </a:xfrm>
                    <a:prstGeom prst="rect">
                      <a:avLst/>
                    </a:prstGeom>
                    <a:noFill/>
                  </pic:spPr>
                </pic:pic>
              </a:graphicData>
            </a:graphic>
          </wp:inline>
        </w:drawing>
      </w:r>
    </w:p>
    <w:p>
      <w:pPr>
        <w:pStyle w:val="Heading2"/>
        <w:bidi w:val="0"/>
        <w:rPr/>
      </w:pPr>
      <w:r>
        <w:rPr/>
        <w:t>Model comparison</w:t>
      </w:r>
    </w:p>
    <w:tbl>
      <w:tblPr>
        <w:tblW w:w="9103" w:type="dxa"/>
        <w:jc w:val="start"/>
        <w:tblInd w:w="0" w:type="dxa"/>
        <w:tblLayout w:type="fixed"/>
        <w:tblCellMar>
          <w:top w:w="28" w:type="dxa"/>
          <w:start w:w="28" w:type="dxa"/>
          <w:bottom w:w="28" w:type="dxa"/>
          <w:end w:w="28" w:type="dxa"/>
        </w:tblCellMar>
      </w:tblPr>
      <w:tblGrid>
        <w:gridCol w:w="988"/>
        <w:gridCol w:w="1004"/>
        <w:gridCol w:w="1246"/>
        <w:gridCol w:w="357"/>
        <w:gridCol w:w="278"/>
        <w:gridCol w:w="357"/>
        <w:gridCol w:w="915"/>
        <w:gridCol w:w="825"/>
        <w:gridCol w:w="3133"/>
      </w:tblGrid>
      <w:tr>
        <w:trPr>
          <w:tblHeader w:val="true"/>
        </w:trPr>
        <w:tc>
          <w:tcPr>
            <w:tcW w:w="988" w:type="dxa"/>
            <w:tcBorders/>
            <w:vAlign w:val="center"/>
          </w:tcPr>
          <w:p>
            <w:pPr>
              <w:pStyle w:val="TableHeading"/>
              <w:suppressLineNumbers/>
              <w:bidi w:val="0"/>
              <w:spacing w:before="0" w:after="283"/>
              <w:jc w:val="center"/>
              <w:rPr/>
            </w:pPr>
            <w:r>
              <w:rPr/>
              <w:t>Corpus</w:t>
            </w:r>
          </w:p>
        </w:tc>
        <w:tc>
          <w:tcPr>
            <w:tcW w:w="1004" w:type="dxa"/>
            <w:tcBorders/>
            <w:vAlign w:val="center"/>
          </w:tcPr>
          <w:p>
            <w:pPr>
              <w:pStyle w:val="TableHeading"/>
              <w:suppressLineNumbers/>
              <w:bidi w:val="0"/>
              <w:spacing w:before="0" w:after="283"/>
              <w:jc w:val="center"/>
              <w:rPr/>
            </w:pPr>
            <w:r>
              <w:rPr/>
              <w:t>Model</w:t>
            </w:r>
          </w:p>
        </w:tc>
        <w:tc>
          <w:tcPr>
            <w:tcW w:w="1246" w:type="dxa"/>
            <w:tcBorders/>
            <w:vAlign w:val="center"/>
          </w:tcPr>
          <w:p>
            <w:pPr>
              <w:pStyle w:val="TableHeading"/>
              <w:suppressLineNumbers/>
              <w:bidi w:val="0"/>
              <w:spacing w:before="0" w:after="283"/>
              <w:jc w:val="center"/>
              <w:rPr/>
            </w:pPr>
            <w:r>
              <w:rPr/>
              <w:t>Ref words</w:t>
            </w:r>
          </w:p>
        </w:tc>
        <w:tc>
          <w:tcPr>
            <w:tcW w:w="357" w:type="dxa"/>
            <w:tcBorders/>
            <w:vAlign w:val="center"/>
          </w:tcPr>
          <w:p>
            <w:pPr>
              <w:pStyle w:val="TableHeading"/>
              <w:suppressLineNumbers/>
              <w:bidi w:val="0"/>
              <w:spacing w:before="0" w:after="283"/>
              <w:jc w:val="center"/>
              <w:rPr/>
            </w:pPr>
            <w:r>
              <w:rPr/>
              <w:t>S</w:t>
            </w:r>
          </w:p>
        </w:tc>
        <w:tc>
          <w:tcPr>
            <w:tcW w:w="278" w:type="dxa"/>
            <w:tcBorders/>
            <w:vAlign w:val="center"/>
          </w:tcPr>
          <w:p>
            <w:pPr>
              <w:pStyle w:val="TableHeading"/>
              <w:suppressLineNumbers/>
              <w:bidi w:val="0"/>
              <w:spacing w:before="0" w:after="283"/>
              <w:jc w:val="center"/>
              <w:rPr/>
            </w:pPr>
            <w:r>
              <w:rPr/>
              <w:t>D</w:t>
            </w:r>
          </w:p>
        </w:tc>
        <w:tc>
          <w:tcPr>
            <w:tcW w:w="357" w:type="dxa"/>
            <w:tcBorders/>
            <w:vAlign w:val="center"/>
          </w:tcPr>
          <w:p>
            <w:pPr>
              <w:pStyle w:val="TableHeading"/>
              <w:suppressLineNumbers/>
              <w:bidi w:val="0"/>
              <w:spacing w:before="0" w:after="283"/>
              <w:jc w:val="center"/>
              <w:rPr/>
            </w:pPr>
            <w:r>
              <w:rPr/>
              <w:t>I</w:t>
            </w:r>
          </w:p>
        </w:tc>
        <w:tc>
          <w:tcPr>
            <w:tcW w:w="915" w:type="dxa"/>
            <w:tcBorders/>
            <w:vAlign w:val="center"/>
          </w:tcPr>
          <w:p>
            <w:pPr>
              <w:pStyle w:val="TableHeading"/>
              <w:suppressLineNumbers/>
              <w:bidi w:val="0"/>
              <w:spacing w:before="0" w:after="283"/>
              <w:jc w:val="center"/>
              <w:rPr/>
            </w:pPr>
            <w:r>
              <w:rPr/>
              <w:t>WER %</w:t>
            </w:r>
          </w:p>
        </w:tc>
        <w:tc>
          <w:tcPr>
            <w:tcW w:w="825" w:type="dxa"/>
            <w:tcBorders/>
            <w:vAlign w:val="center"/>
          </w:tcPr>
          <w:p>
            <w:pPr>
              <w:pStyle w:val="TableHeading"/>
              <w:suppressLineNumbers/>
              <w:bidi w:val="0"/>
              <w:spacing w:before="0" w:after="283"/>
              <w:jc w:val="center"/>
              <w:rPr/>
            </w:pPr>
            <w:r>
              <w:rPr/>
              <w:t>CER %</w:t>
            </w:r>
          </w:p>
        </w:tc>
        <w:tc>
          <w:tcPr>
            <w:tcW w:w="3133" w:type="dxa"/>
            <w:tcBorders/>
            <w:vAlign w:val="center"/>
          </w:tcPr>
          <w:p>
            <w:pPr>
              <w:pStyle w:val="TableHeading"/>
              <w:suppressLineNumbers/>
              <w:bidi w:val="0"/>
              <w:spacing w:before="0" w:after="283"/>
              <w:jc w:val="center"/>
              <w:rPr/>
            </w:pPr>
            <w:r>
              <w:rPr/>
              <w:t>Relative WER reduction %</w:t>
            </w:r>
          </w:p>
        </w:tc>
      </w:tr>
      <w:tr>
        <w:trPr/>
        <w:tc>
          <w:tcPr>
            <w:tcW w:w="988" w:type="dxa"/>
            <w:tcBorders/>
            <w:vAlign w:val="center"/>
          </w:tcPr>
          <w:p>
            <w:pPr>
              <w:pStyle w:val="TableContents"/>
              <w:bidi w:val="0"/>
              <w:spacing w:before="0" w:after="283"/>
              <w:rPr/>
            </w:pPr>
            <w:r>
              <w:rPr/>
              <w:t>hindi</w:t>
            </w:r>
          </w:p>
        </w:tc>
        <w:tc>
          <w:tcPr>
            <w:tcW w:w="1004" w:type="dxa"/>
            <w:tcBorders/>
            <w:vAlign w:val="center"/>
          </w:tcPr>
          <w:p>
            <w:pPr>
              <w:pStyle w:val="TableContents"/>
              <w:bidi w:val="0"/>
              <w:spacing w:before="0" w:after="283"/>
              <w:rPr/>
            </w:pPr>
            <w:r>
              <w:rPr/>
              <w:t>small</w:t>
            </w:r>
          </w:p>
        </w:tc>
        <w:tc>
          <w:tcPr>
            <w:tcW w:w="1246" w:type="dxa"/>
            <w:tcBorders/>
            <w:vAlign w:val="center"/>
          </w:tcPr>
          <w:p>
            <w:pPr>
              <w:pStyle w:val="TableContents"/>
              <w:bidi w:val="0"/>
              <w:spacing w:before="0" w:after="283"/>
              <w:rPr/>
            </w:pPr>
            <w:r>
              <w:rPr/>
              <w:t>208</w:t>
            </w:r>
          </w:p>
        </w:tc>
        <w:tc>
          <w:tcPr>
            <w:tcW w:w="357" w:type="dxa"/>
            <w:tcBorders/>
            <w:vAlign w:val="center"/>
          </w:tcPr>
          <w:p>
            <w:pPr>
              <w:pStyle w:val="TableContents"/>
              <w:bidi w:val="0"/>
              <w:spacing w:before="0" w:after="283"/>
              <w:rPr/>
            </w:pPr>
            <w:r>
              <w:rPr/>
              <w:t>88</w:t>
            </w:r>
          </w:p>
        </w:tc>
        <w:tc>
          <w:tcPr>
            <w:tcW w:w="278" w:type="dxa"/>
            <w:tcBorders/>
            <w:vAlign w:val="center"/>
          </w:tcPr>
          <w:p>
            <w:pPr>
              <w:pStyle w:val="TableContents"/>
              <w:bidi w:val="0"/>
              <w:spacing w:before="0" w:after="283"/>
              <w:rPr/>
            </w:pPr>
            <w:r>
              <w:rPr/>
              <w:t>6</w:t>
            </w:r>
          </w:p>
        </w:tc>
        <w:tc>
          <w:tcPr>
            <w:tcW w:w="357" w:type="dxa"/>
            <w:tcBorders/>
            <w:vAlign w:val="center"/>
          </w:tcPr>
          <w:p>
            <w:pPr>
              <w:pStyle w:val="TableContents"/>
              <w:bidi w:val="0"/>
              <w:spacing w:before="0" w:after="283"/>
              <w:rPr/>
            </w:pPr>
            <w:r>
              <w:rPr/>
              <w:t>12</w:t>
            </w:r>
          </w:p>
        </w:tc>
        <w:tc>
          <w:tcPr>
            <w:tcW w:w="915" w:type="dxa"/>
            <w:tcBorders/>
            <w:vAlign w:val="center"/>
          </w:tcPr>
          <w:p>
            <w:pPr>
              <w:pStyle w:val="TableContents"/>
              <w:bidi w:val="0"/>
              <w:spacing w:before="0" w:after="283"/>
              <w:rPr/>
            </w:pPr>
            <w:r>
              <w:rPr/>
              <w:t>50.96</w:t>
            </w:r>
          </w:p>
        </w:tc>
        <w:tc>
          <w:tcPr>
            <w:tcW w:w="825" w:type="dxa"/>
            <w:tcBorders/>
            <w:vAlign w:val="center"/>
          </w:tcPr>
          <w:p>
            <w:pPr>
              <w:pStyle w:val="TableContents"/>
              <w:bidi w:val="0"/>
              <w:spacing w:before="0" w:after="283"/>
              <w:rPr/>
            </w:pPr>
            <w:r>
              <w:rPr/>
              <w:t>20.09</w:t>
            </w:r>
          </w:p>
        </w:tc>
        <w:tc>
          <w:tcPr>
            <w:tcW w:w="3133" w:type="dxa"/>
            <w:tcBorders/>
            <w:vAlign w:val="center"/>
          </w:tcPr>
          <w:p>
            <w:pPr>
              <w:pStyle w:val="TableContents"/>
              <w:bidi w:val="0"/>
              <w:spacing w:before="0" w:after="283"/>
              <w:rPr/>
            </w:pPr>
            <w:r>
              <w:rPr/>
              <w:t>0.00</w:t>
            </w:r>
          </w:p>
        </w:tc>
      </w:tr>
      <w:tr>
        <w:trPr/>
        <w:tc>
          <w:tcPr>
            <w:tcW w:w="988" w:type="dxa"/>
            <w:tcBorders/>
            <w:vAlign w:val="center"/>
          </w:tcPr>
          <w:p>
            <w:pPr>
              <w:pStyle w:val="TableContents"/>
              <w:bidi w:val="0"/>
              <w:spacing w:before="0" w:after="283"/>
              <w:rPr/>
            </w:pPr>
            <w:r>
              <w:rPr/>
              <w:t>hindi</w:t>
            </w:r>
          </w:p>
        </w:tc>
        <w:tc>
          <w:tcPr>
            <w:tcW w:w="1004" w:type="dxa"/>
            <w:tcBorders/>
            <w:vAlign w:val="center"/>
          </w:tcPr>
          <w:p>
            <w:pPr>
              <w:pStyle w:val="TableContents"/>
              <w:bidi w:val="0"/>
              <w:spacing w:before="0" w:after="283"/>
              <w:rPr/>
            </w:pPr>
            <w:r>
              <w:rPr/>
              <w:t>medium</w:t>
            </w:r>
          </w:p>
        </w:tc>
        <w:tc>
          <w:tcPr>
            <w:tcW w:w="1246" w:type="dxa"/>
            <w:tcBorders/>
            <w:vAlign w:val="center"/>
          </w:tcPr>
          <w:p>
            <w:pPr>
              <w:pStyle w:val="TableContents"/>
              <w:bidi w:val="0"/>
              <w:spacing w:before="0" w:after="283"/>
              <w:rPr/>
            </w:pPr>
            <w:r>
              <w:rPr/>
              <w:t>208</w:t>
            </w:r>
          </w:p>
        </w:tc>
        <w:tc>
          <w:tcPr>
            <w:tcW w:w="357" w:type="dxa"/>
            <w:tcBorders/>
            <w:vAlign w:val="center"/>
          </w:tcPr>
          <w:p>
            <w:pPr>
              <w:pStyle w:val="TableContents"/>
              <w:bidi w:val="0"/>
              <w:spacing w:before="0" w:after="283"/>
              <w:rPr/>
            </w:pPr>
            <w:r>
              <w:rPr/>
              <w:t>72</w:t>
            </w:r>
          </w:p>
        </w:tc>
        <w:tc>
          <w:tcPr>
            <w:tcW w:w="278" w:type="dxa"/>
            <w:tcBorders/>
            <w:vAlign w:val="center"/>
          </w:tcPr>
          <w:p>
            <w:pPr>
              <w:pStyle w:val="TableContents"/>
              <w:bidi w:val="0"/>
              <w:spacing w:before="0" w:after="283"/>
              <w:rPr/>
            </w:pPr>
            <w:r>
              <w:rPr/>
              <w:t>2</w:t>
            </w:r>
          </w:p>
        </w:tc>
        <w:tc>
          <w:tcPr>
            <w:tcW w:w="357" w:type="dxa"/>
            <w:tcBorders/>
            <w:vAlign w:val="center"/>
          </w:tcPr>
          <w:p>
            <w:pPr>
              <w:pStyle w:val="TableContents"/>
              <w:bidi w:val="0"/>
              <w:spacing w:before="0" w:after="283"/>
              <w:rPr/>
            </w:pPr>
            <w:r>
              <w:rPr/>
              <w:t>3</w:t>
            </w:r>
          </w:p>
        </w:tc>
        <w:tc>
          <w:tcPr>
            <w:tcW w:w="915" w:type="dxa"/>
            <w:tcBorders/>
            <w:vAlign w:val="center"/>
          </w:tcPr>
          <w:p>
            <w:pPr>
              <w:pStyle w:val="TableContents"/>
              <w:bidi w:val="0"/>
              <w:spacing w:before="0" w:after="283"/>
              <w:rPr/>
            </w:pPr>
            <w:r>
              <w:rPr/>
              <w:t>37.02</w:t>
            </w:r>
          </w:p>
        </w:tc>
        <w:tc>
          <w:tcPr>
            <w:tcW w:w="825" w:type="dxa"/>
            <w:tcBorders/>
            <w:vAlign w:val="center"/>
          </w:tcPr>
          <w:p>
            <w:pPr>
              <w:pStyle w:val="TableContents"/>
              <w:bidi w:val="0"/>
              <w:spacing w:before="0" w:after="283"/>
              <w:rPr/>
            </w:pPr>
            <w:r>
              <w:rPr/>
              <w:t>14.98</w:t>
            </w:r>
          </w:p>
        </w:tc>
        <w:tc>
          <w:tcPr>
            <w:tcW w:w="3133" w:type="dxa"/>
            <w:tcBorders/>
            <w:vAlign w:val="center"/>
          </w:tcPr>
          <w:p>
            <w:pPr>
              <w:pStyle w:val="TableContents"/>
              <w:bidi w:val="0"/>
              <w:spacing w:before="0" w:after="283"/>
              <w:rPr/>
            </w:pPr>
            <w:r>
              <w:rPr/>
              <w:t>27.36</w:t>
            </w:r>
          </w:p>
        </w:tc>
      </w:tr>
      <w:tr>
        <w:trPr/>
        <w:tc>
          <w:tcPr>
            <w:tcW w:w="988" w:type="dxa"/>
            <w:tcBorders/>
            <w:vAlign w:val="center"/>
          </w:tcPr>
          <w:p>
            <w:pPr>
              <w:pStyle w:val="TableContents"/>
              <w:bidi w:val="0"/>
              <w:spacing w:before="0" w:after="283"/>
              <w:rPr/>
            </w:pPr>
            <w:r>
              <w:rPr/>
              <w:t>hinglish</w:t>
            </w:r>
          </w:p>
        </w:tc>
        <w:tc>
          <w:tcPr>
            <w:tcW w:w="1004" w:type="dxa"/>
            <w:tcBorders/>
            <w:vAlign w:val="center"/>
          </w:tcPr>
          <w:p>
            <w:pPr>
              <w:pStyle w:val="TableContents"/>
              <w:bidi w:val="0"/>
              <w:spacing w:before="0" w:after="283"/>
              <w:rPr/>
            </w:pPr>
            <w:r>
              <w:rPr/>
              <w:t>small</w:t>
            </w:r>
          </w:p>
        </w:tc>
        <w:tc>
          <w:tcPr>
            <w:tcW w:w="1246" w:type="dxa"/>
            <w:tcBorders/>
            <w:vAlign w:val="center"/>
          </w:tcPr>
          <w:p>
            <w:pPr>
              <w:pStyle w:val="TableContents"/>
              <w:bidi w:val="0"/>
              <w:spacing w:before="0" w:after="283"/>
              <w:rPr/>
            </w:pPr>
            <w:r>
              <w:rPr/>
              <w:t>124</w:t>
            </w:r>
          </w:p>
        </w:tc>
        <w:tc>
          <w:tcPr>
            <w:tcW w:w="357" w:type="dxa"/>
            <w:tcBorders/>
            <w:vAlign w:val="center"/>
          </w:tcPr>
          <w:p>
            <w:pPr>
              <w:pStyle w:val="TableContents"/>
              <w:bidi w:val="0"/>
              <w:spacing w:before="0" w:after="283"/>
              <w:rPr/>
            </w:pPr>
            <w:r>
              <w:rPr/>
              <w:t>60</w:t>
            </w:r>
          </w:p>
        </w:tc>
        <w:tc>
          <w:tcPr>
            <w:tcW w:w="278" w:type="dxa"/>
            <w:tcBorders/>
            <w:vAlign w:val="center"/>
          </w:tcPr>
          <w:p>
            <w:pPr>
              <w:pStyle w:val="TableContents"/>
              <w:bidi w:val="0"/>
              <w:spacing w:before="0" w:after="283"/>
              <w:rPr/>
            </w:pPr>
            <w:r>
              <w:rPr/>
              <w:t>4</w:t>
            </w:r>
          </w:p>
        </w:tc>
        <w:tc>
          <w:tcPr>
            <w:tcW w:w="357" w:type="dxa"/>
            <w:tcBorders/>
            <w:vAlign w:val="center"/>
          </w:tcPr>
          <w:p>
            <w:pPr>
              <w:pStyle w:val="TableContents"/>
              <w:bidi w:val="0"/>
              <w:spacing w:before="0" w:after="283"/>
              <w:rPr/>
            </w:pPr>
            <w:r>
              <w:rPr/>
              <w:t>18</w:t>
            </w:r>
          </w:p>
        </w:tc>
        <w:tc>
          <w:tcPr>
            <w:tcW w:w="915" w:type="dxa"/>
            <w:tcBorders/>
            <w:vAlign w:val="center"/>
          </w:tcPr>
          <w:p>
            <w:pPr>
              <w:pStyle w:val="TableContents"/>
              <w:bidi w:val="0"/>
              <w:spacing w:before="0" w:after="283"/>
              <w:rPr/>
            </w:pPr>
            <w:r>
              <w:rPr/>
              <w:t>66.13</w:t>
            </w:r>
          </w:p>
        </w:tc>
        <w:tc>
          <w:tcPr>
            <w:tcW w:w="825" w:type="dxa"/>
            <w:tcBorders/>
            <w:vAlign w:val="center"/>
          </w:tcPr>
          <w:p>
            <w:pPr>
              <w:pStyle w:val="TableContents"/>
              <w:bidi w:val="0"/>
              <w:spacing w:before="0" w:after="283"/>
              <w:rPr/>
            </w:pPr>
            <w:r>
              <w:rPr/>
              <w:t>50.00</w:t>
            </w:r>
          </w:p>
        </w:tc>
        <w:tc>
          <w:tcPr>
            <w:tcW w:w="3133" w:type="dxa"/>
            <w:tcBorders/>
            <w:vAlign w:val="center"/>
          </w:tcPr>
          <w:p>
            <w:pPr>
              <w:pStyle w:val="TableContents"/>
              <w:bidi w:val="0"/>
              <w:spacing w:before="0" w:after="283"/>
              <w:rPr/>
            </w:pPr>
            <w:r>
              <w:rPr/>
              <w:t>0.00</w:t>
            </w:r>
          </w:p>
        </w:tc>
      </w:tr>
      <w:tr>
        <w:trPr/>
        <w:tc>
          <w:tcPr>
            <w:tcW w:w="988" w:type="dxa"/>
            <w:tcBorders/>
            <w:vAlign w:val="center"/>
          </w:tcPr>
          <w:p>
            <w:pPr>
              <w:pStyle w:val="TableContents"/>
              <w:bidi w:val="0"/>
              <w:spacing w:before="0" w:after="283"/>
              <w:rPr/>
            </w:pPr>
            <w:r>
              <w:rPr/>
              <w:t>hinglish</w:t>
            </w:r>
          </w:p>
        </w:tc>
        <w:tc>
          <w:tcPr>
            <w:tcW w:w="1004" w:type="dxa"/>
            <w:tcBorders/>
            <w:vAlign w:val="center"/>
          </w:tcPr>
          <w:p>
            <w:pPr>
              <w:pStyle w:val="TableContents"/>
              <w:bidi w:val="0"/>
              <w:spacing w:before="0" w:after="283"/>
              <w:rPr/>
            </w:pPr>
            <w:r>
              <w:rPr/>
              <w:t>medium</w:t>
            </w:r>
          </w:p>
        </w:tc>
        <w:tc>
          <w:tcPr>
            <w:tcW w:w="1246" w:type="dxa"/>
            <w:tcBorders/>
            <w:vAlign w:val="center"/>
          </w:tcPr>
          <w:p>
            <w:pPr>
              <w:pStyle w:val="TableContents"/>
              <w:bidi w:val="0"/>
              <w:spacing w:before="0" w:after="283"/>
              <w:rPr/>
            </w:pPr>
            <w:r>
              <w:rPr/>
              <w:t>124</w:t>
            </w:r>
          </w:p>
        </w:tc>
        <w:tc>
          <w:tcPr>
            <w:tcW w:w="357" w:type="dxa"/>
            <w:tcBorders/>
            <w:vAlign w:val="center"/>
          </w:tcPr>
          <w:p>
            <w:pPr>
              <w:pStyle w:val="TableContents"/>
              <w:bidi w:val="0"/>
              <w:spacing w:before="0" w:after="283"/>
              <w:rPr/>
            </w:pPr>
            <w:r>
              <w:rPr/>
              <w:t>49</w:t>
            </w:r>
          </w:p>
        </w:tc>
        <w:tc>
          <w:tcPr>
            <w:tcW w:w="278" w:type="dxa"/>
            <w:tcBorders/>
            <w:vAlign w:val="center"/>
          </w:tcPr>
          <w:p>
            <w:pPr>
              <w:pStyle w:val="TableContents"/>
              <w:bidi w:val="0"/>
              <w:spacing w:before="0" w:after="283"/>
              <w:rPr/>
            </w:pPr>
            <w:r>
              <w:rPr/>
              <w:t>8</w:t>
            </w:r>
          </w:p>
        </w:tc>
        <w:tc>
          <w:tcPr>
            <w:tcW w:w="357" w:type="dxa"/>
            <w:tcBorders/>
            <w:vAlign w:val="center"/>
          </w:tcPr>
          <w:p>
            <w:pPr>
              <w:pStyle w:val="TableContents"/>
              <w:bidi w:val="0"/>
              <w:spacing w:before="0" w:after="283"/>
              <w:rPr/>
            </w:pPr>
            <w:r>
              <w:rPr/>
              <w:t>14</w:t>
            </w:r>
          </w:p>
        </w:tc>
        <w:tc>
          <w:tcPr>
            <w:tcW w:w="915" w:type="dxa"/>
            <w:tcBorders/>
            <w:vAlign w:val="center"/>
          </w:tcPr>
          <w:p>
            <w:pPr>
              <w:pStyle w:val="TableContents"/>
              <w:bidi w:val="0"/>
              <w:spacing w:before="0" w:after="283"/>
              <w:rPr/>
            </w:pPr>
            <w:r>
              <w:rPr/>
              <w:t>57.26</w:t>
            </w:r>
          </w:p>
        </w:tc>
        <w:tc>
          <w:tcPr>
            <w:tcW w:w="825" w:type="dxa"/>
            <w:tcBorders/>
            <w:vAlign w:val="center"/>
          </w:tcPr>
          <w:p>
            <w:pPr>
              <w:pStyle w:val="TableContents"/>
              <w:bidi w:val="0"/>
              <w:spacing w:before="0" w:after="283"/>
              <w:rPr/>
            </w:pPr>
            <w:r>
              <w:rPr/>
              <w:t>52.25</w:t>
            </w:r>
          </w:p>
        </w:tc>
        <w:tc>
          <w:tcPr>
            <w:tcW w:w="3133" w:type="dxa"/>
            <w:tcBorders/>
            <w:vAlign w:val="center"/>
          </w:tcPr>
          <w:p>
            <w:pPr>
              <w:pStyle w:val="TableContents"/>
              <w:bidi w:val="0"/>
              <w:spacing w:before="0" w:after="283"/>
              <w:rPr/>
            </w:pPr>
            <w:r>
              <w:rPr/>
              <w:t>13.41</w:t>
            </w:r>
          </w:p>
        </w:tc>
      </w:tr>
    </w:tbl>
    <w:p>
      <w:pPr>
        <w:pStyle w:val="BodyText"/>
        <w:bidi w:val="0"/>
        <w:rPr/>
      </w:pPr>
      <w:r>
        <w:rPr/>
        <w:t>Each corpus comparison uses the same eight samples and normalisation. Do not pool Hindi and Hinglish into an overall product accuracy. Medium improves WER here but increases Hinglish CER. This is a model comparison; changing model size is not a component-removal ablation.</w:t>
      </w:r>
    </w:p>
    <w:p>
      <w:pPr>
        <w:pStyle w:val="Heading2"/>
        <w:bidi w:val="0"/>
        <w:rPr/>
      </w:pPr>
      <w:r>
        <w:rPr/>
        <w:t>Component ablation and sensitivity</w:t>
      </w:r>
    </w:p>
    <w:tbl>
      <w:tblPr>
        <w:tblW w:w="11339" w:type="dxa"/>
        <w:jc w:val="start"/>
        <w:tblInd w:w="0" w:type="dxa"/>
        <w:tblLayout w:type="fixed"/>
        <w:tblCellMar>
          <w:top w:w="28" w:type="dxa"/>
          <w:start w:w="28" w:type="dxa"/>
          <w:bottom w:w="28" w:type="dxa"/>
          <w:end w:w="28" w:type="dxa"/>
        </w:tblCellMar>
      </w:tblPr>
      <w:tblGrid>
        <w:gridCol w:w="405"/>
        <w:gridCol w:w="3764"/>
        <w:gridCol w:w="2496"/>
        <w:gridCol w:w="1728"/>
        <w:gridCol w:w="2946"/>
      </w:tblGrid>
      <w:tr>
        <w:trPr>
          <w:tblHeader w:val="true"/>
        </w:trPr>
        <w:tc>
          <w:tcPr>
            <w:tcW w:w="405" w:type="dxa"/>
            <w:tcBorders/>
            <w:vAlign w:val="center"/>
          </w:tcPr>
          <w:p>
            <w:pPr>
              <w:pStyle w:val="TableHeading"/>
              <w:suppressLineNumbers/>
              <w:bidi w:val="0"/>
              <w:spacing w:before="0" w:after="283"/>
              <w:jc w:val="center"/>
              <w:rPr/>
            </w:pPr>
            <w:r>
              <w:rPr/>
              <w:t>ID</w:t>
            </w:r>
          </w:p>
        </w:tc>
        <w:tc>
          <w:tcPr>
            <w:tcW w:w="3764" w:type="dxa"/>
            <w:tcBorders/>
            <w:vAlign w:val="center"/>
          </w:tcPr>
          <w:p>
            <w:pPr>
              <w:pStyle w:val="TableHeading"/>
              <w:suppressLineNumbers/>
              <w:bidi w:val="0"/>
              <w:spacing w:before="0" w:after="283"/>
              <w:jc w:val="center"/>
              <w:rPr/>
            </w:pPr>
            <w:r>
              <w:rPr/>
              <w:t>Variant</w:t>
            </w:r>
          </w:p>
        </w:tc>
        <w:tc>
          <w:tcPr>
            <w:tcW w:w="2496" w:type="dxa"/>
            <w:tcBorders/>
            <w:vAlign w:val="center"/>
          </w:tcPr>
          <w:p>
            <w:pPr>
              <w:pStyle w:val="TableHeading"/>
              <w:suppressLineNumbers/>
              <w:bidi w:val="0"/>
              <w:spacing w:before="0" w:after="283"/>
              <w:jc w:val="center"/>
              <w:rPr/>
            </w:pPr>
            <w:r>
              <w:rPr/>
              <w:t>Slide-grounded events</w:t>
            </w:r>
          </w:p>
        </w:tc>
        <w:tc>
          <w:tcPr>
            <w:tcW w:w="1728" w:type="dxa"/>
            <w:tcBorders/>
            <w:vAlign w:val="center"/>
          </w:tcPr>
          <w:p>
            <w:pPr>
              <w:pStyle w:val="TableHeading"/>
              <w:suppressLineNumbers/>
              <w:bidi w:val="0"/>
              <w:spacing w:before="0" w:after="283"/>
              <w:jc w:val="center"/>
              <w:rPr/>
            </w:pPr>
            <w:r>
              <w:rPr/>
              <w:t>Changed scores</w:t>
            </w:r>
          </w:p>
        </w:tc>
        <w:tc>
          <w:tcPr>
            <w:tcW w:w="2946" w:type="dxa"/>
            <w:tcBorders/>
            <w:vAlign w:val="center"/>
          </w:tcPr>
          <w:p>
            <w:pPr>
              <w:pStyle w:val="TableHeading"/>
              <w:suppressLineNumbers/>
              <w:bidi w:val="0"/>
              <w:spacing w:before="0" w:after="283"/>
              <w:jc w:val="center"/>
              <w:rPr/>
            </w:pPr>
            <w:r>
              <w:rPr/>
              <w:t>Mean absolute score change</w:t>
            </w:r>
          </w:p>
        </w:tc>
      </w:tr>
      <w:tr>
        <w:trPr/>
        <w:tc>
          <w:tcPr>
            <w:tcW w:w="405" w:type="dxa"/>
            <w:tcBorders/>
            <w:vAlign w:val="center"/>
          </w:tcPr>
          <w:p>
            <w:pPr>
              <w:pStyle w:val="TableContents"/>
              <w:bidi w:val="0"/>
              <w:spacing w:before="0" w:after="283"/>
              <w:rPr/>
            </w:pPr>
            <w:r>
              <w:rPr/>
              <w:t>A1</w:t>
            </w:r>
          </w:p>
        </w:tc>
        <w:tc>
          <w:tcPr>
            <w:tcW w:w="3764" w:type="dxa"/>
            <w:tcBorders/>
            <w:vAlign w:val="center"/>
          </w:tcPr>
          <w:p>
            <w:pPr>
              <w:pStyle w:val="TableContents"/>
              <w:bidi w:val="0"/>
              <w:spacing w:before="0" w:after="283"/>
              <w:rPr/>
            </w:pPr>
            <w:r>
              <w:rPr/>
              <w:t>full_system</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A2</w:t>
            </w:r>
          </w:p>
        </w:tc>
        <w:tc>
          <w:tcPr>
            <w:tcW w:w="3764" w:type="dxa"/>
            <w:tcBorders/>
            <w:vAlign w:val="center"/>
          </w:tcPr>
          <w:p>
            <w:pPr>
              <w:pStyle w:val="TableContents"/>
              <w:bidi w:val="0"/>
              <w:spacing w:before="0" w:after="283"/>
              <w:rPr/>
            </w:pPr>
            <w:r>
              <w:rPr/>
              <w:t>without_ppt</w:t>
            </w:r>
          </w:p>
        </w:tc>
        <w:tc>
          <w:tcPr>
            <w:tcW w:w="2496" w:type="dxa"/>
            <w:tcBorders/>
            <w:vAlign w:val="center"/>
          </w:tcPr>
          <w:p>
            <w:pPr>
              <w:pStyle w:val="TableContents"/>
              <w:bidi w:val="0"/>
              <w:spacing w:before="0" w:after="283"/>
              <w:rPr/>
            </w:pPr>
            <w:r>
              <w:rPr/>
              <w:t>0</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A3</w:t>
            </w:r>
          </w:p>
        </w:tc>
        <w:tc>
          <w:tcPr>
            <w:tcW w:w="3764" w:type="dxa"/>
            <w:tcBorders/>
            <w:vAlign w:val="center"/>
          </w:tcPr>
          <w:p>
            <w:pPr>
              <w:pStyle w:val="TableContents"/>
              <w:bidi w:val="0"/>
              <w:spacing w:before="0" w:after="283"/>
              <w:rPr/>
            </w:pPr>
            <w:r>
              <w:rPr/>
              <w:t>without_temporal_alignment</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A4</w:t>
            </w:r>
          </w:p>
        </w:tc>
        <w:tc>
          <w:tcPr>
            <w:tcW w:w="3764" w:type="dxa"/>
            <w:tcBorders/>
            <w:vAlign w:val="center"/>
          </w:tcPr>
          <w:p>
            <w:pPr>
              <w:pStyle w:val="TableContents"/>
              <w:bidi w:val="0"/>
              <w:spacing w:before="0" w:after="283"/>
              <w:rPr/>
            </w:pPr>
            <w:r>
              <w:rPr/>
              <w:t>without_semantic_alignment</w:t>
            </w:r>
          </w:p>
        </w:tc>
        <w:tc>
          <w:tcPr>
            <w:tcW w:w="2496" w:type="dxa"/>
            <w:tcBorders/>
            <w:vAlign w:val="center"/>
          </w:tcPr>
          <w:p>
            <w:pPr>
              <w:pStyle w:val="TableContents"/>
              <w:bidi w:val="0"/>
              <w:spacing w:before="0" w:after="283"/>
              <w:rPr/>
            </w:pPr>
            <w:r>
              <w:rPr/>
              <w:t>0</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A5</w:t>
            </w:r>
          </w:p>
        </w:tc>
        <w:tc>
          <w:tcPr>
            <w:tcW w:w="3764" w:type="dxa"/>
            <w:tcBorders/>
            <w:vAlign w:val="center"/>
          </w:tcPr>
          <w:p>
            <w:pPr>
              <w:pStyle w:val="TableContents"/>
              <w:bidi w:val="0"/>
              <w:spacing w:before="0" w:after="283"/>
              <w:rPr/>
            </w:pPr>
            <w:r>
              <w:rPr/>
              <w:t>without_evidence_features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0.001484</w:t>
            </w:r>
          </w:p>
        </w:tc>
      </w:tr>
      <w:tr>
        <w:trPr/>
        <w:tc>
          <w:tcPr>
            <w:tcW w:w="405" w:type="dxa"/>
            <w:tcBorders/>
            <w:vAlign w:val="center"/>
          </w:tcPr>
          <w:p>
            <w:pPr>
              <w:pStyle w:val="TableContents"/>
              <w:bidi w:val="0"/>
              <w:spacing w:before="0" w:after="283"/>
              <w:rPr/>
            </w:pPr>
            <w:r>
              <w:rPr/>
              <w:t>A6</w:t>
            </w:r>
          </w:p>
        </w:tc>
        <w:tc>
          <w:tcPr>
            <w:tcW w:w="3764" w:type="dxa"/>
            <w:tcBorders/>
            <w:vAlign w:val="center"/>
          </w:tcPr>
          <w:p>
            <w:pPr>
              <w:pStyle w:val="TableContents"/>
              <w:bidi w:val="0"/>
              <w:spacing w:before="0" w:after="283"/>
              <w:rPr/>
            </w:pPr>
            <w:r>
              <w:rPr/>
              <w:t>without_interaction_features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0.000312</w:t>
            </w:r>
          </w:p>
        </w:tc>
      </w:tr>
      <w:tr>
        <w:trPr/>
        <w:tc>
          <w:tcPr>
            <w:tcW w:w="405" w:type="dxa"/>
            <w:tcBorders/>
            <w:vAlign w:val="center"/>
          </w:tcPr>
          <w:p>
            <w:pPr>
              <w:pStyle w:val="TableContents"/>
              <w:bidi w:val="0"/>
              <w:spacing w:before="0" w:after="283"/>
              <w:rPr/>
            </w:pPr>
            <w:r>
              <w:rPr/>
              <w:t>A7</w:t>
            </w:r>
          </w:p>
        </w:tc>
        <w:tc>
          <w:tcPr>
            <w:tcW w:w="3764" w:type="dxa"/>
            <w:tcBorders/>
            <w:vAlign w:val="center"/>
          </w:tcPr>
          <w:p>
            <w:pPr>
              <w:pStyle w:val="TableContents"/>
              <w:bidi w:val="0"/>
              <w:spacing w:before="0" w:after="283"/>
              <w:rPr/>
            </w:pPr>
            <w:r>
              <w:rPr/>
              <w:t>without_decision_impact_features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0.005935</w:t>
            </w:r>
          </w:p>
        </w:tc>
      </w:tr>
      <w:tr>
        <w:trPr/>
        <w:tc>
          <w:tcPr>
            <w:tcW w:w="405" w:type="dxa"/>
            <w:tcBorders/>
            <w:vAlign w:val="center"/>
          </w:tcPr>
          <w:p>
            <w:pPr>
              <w:pStyle w:val="TableContents"/>
              <w:bidi w:val="0"/>
              <w:spacing w:before="0" w:after="283"/>
              <w:rPr/>
            </w:pPr>
            <w:r>
              <w:rPr/>
              <w:t>A8</w:t>
            </w:r>
          </w:p>
        </w:tc>
        <w:tc>
          <w:tcPr>
            <w:tcW w:w="3764" w:type="dxa"/>
            <w:tcBorders/>
            <w:vAlign w:val="center"/>
          </w:tcPr>
          <w:p>
            <w:pPr>
              <w:pStyle w:val="TableContents"/>
              <w:bidi w:val="0"/>
              <w:spacing w:before="0" w:after="283"/>
              <w:rPr/>
            </w:pPr>
            <w:r>
              <w:rPr/>
              <w:t>speaking_time_only_baseline</w:t>
            </w:r>
          </w:p>
        </w:tc>
        <w:tc>
          <w:tcPr>
            <w:tcW w:w="2496" w:type="dxa"/>
            <w:tcBorders/>
            <w:vAlign w:val="center"/>
          </w:tcPr>
          <w:p>
            <w:pPr>
              <w:pStyle w:val="TableContents"/>
              <w:bidi w:val="0"/>
              <w:spacing w:before="0" w:after="283"/>
              <w:rPr/>
            </w:pPr>
            <w:r>
              <w:rPr/>
              <w:t>N/A</w:t>
            </w:r>
          </w:p>
        </w:tc>
        <w:tc>
          <w:tcPr>
            <w:tcW w:w="1728" w:type="dxa"/>
            <w:tcBorders/>
            <w:vAlign w:val="center"/>
          </w:tcPr>
          <w:p>
            <w:pPr>
              <w:pStyle w:val="TableContents"/>
              <w:bidi w:val="0"/>
              <w:spacing w:before="0" w:after="283"/>
              <w:rPr/>
            </w:pPr>
            <w:r>
              <w:rPr/>
              <w:t>N/A</w:t>
            </w:r>
          </w:p>
        </w:tc>
        <w:tc>
          <w:tcPr>
            <w:tcW w:w="2946" w:type="dxa"/>
            <w:tcBorders/>
            <w:vAlign w:val="center"/>
          </w:tcPr>
          <w:p>
            <w:pPr>
              <w:pStyle w:val="TableContents"/>
              <w:bidi w:val="0"/>
              <w:spacing w:before="0" w:after="283"/>
              <w:rPr/>
            </w:pPr>
            <w:r>
              <w:rPr/>
              <w:t>N/A</w:t>
            </w:r>
          </w:p>
        </w:tc>
      </w:tr>
    </w:tbl>
    <w:p>
      <w:pPr>
        <w:pStyle w:val="BodyText"/>
        <w:bidi w:val="0"/>
        <w:rPr/>
      </w:pPr>
      <w:r>
        <w:rPr/>
        <w:t>A1 is the control. A2 removes presentation links and reruns downstream NLP. A3/A4 rerun alignment and downstream analysis after removing temporal/semantic evidence. A5–A7 remove feature weights, then renormalize the remaining weights. A8 replaces the scoring method with speaking time. Counts and score movement are descriptive. Human accuracy remains unmeasured in every row.</w:t>
      </w:r>
    </w:p>
    <w:p>
      <w:pPr>
        <w:pStyle w:val="BodyText"/>
        <w:bidi w:val="0"/>
        <w:rPr/>
      </w:pPr>
      <w:r>
        <w:rPr/>
        <w:t>The chart below excludes A8 because its scoring definition differs. Mean change averages all 139 clusters, including zeros, which can make a change appear small. Consult changed-score counts and maximum change in the CSV. Fragmentation in this original report means these diagnostics must not support claims about real participants.</w:t>
      </w:r>
    </w:p>
    <w:p>
      <w:pPr>
        <w:pStyle w:val="BodyText"/>
        <w:bidi w:val="0"/>
        <w:rPr/>
      </w:pPr>
      <w:r>
        <w:rPr/>
        <w:drawing>
          <wp:inline distT="0" distB="0" distL="0" distR="0">
            <wp:extent cx="5715000" cy="2181225"/>
            <wp:effectExtent l="0" t="0" r="0" b="0"/>
            <wp:docPr id="2" name="Image2" title="Ablation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Ablation sensitivity"/>
                    <pic:cNvPicPr>
                      <a:picLocks noChangeAspect="1" noChangeArrowheads="1"/>
                    </pic:cNvPicPr>
                  </pic:nvPicPr>
                  <pic:blipFill>
                    <a:blip r:embed="rId3"/>
                    <a:stretch>
                      <a:fillRect/>
                    </a:stretch>
                  </pic:blipFill>
                  <pic:spPr bwMode="auto">
                    <a:xfrm>
                      <a:off x="0" y="0"/>
                      <a:ext cx="5715000" cy="2181225"/>
                    </a:xfrm>
                    <a:prstGeom prst="rect">
                      <a:avLst/>
                    </a:prstGeom>
                    <a:noFill/>
                  </pic:spPr>
                </pic:pic>
              </a:graphicData>
            </a:graphic>
          </wp:inline>
        </w:drawing>
      </w:r>
    </w:p>
    <w:p>
      <w:pPr>
        <w:pStyle w:val="BodyText"/>
        <w:bidi w:val="0"/>
        <w:rPr/>
      </w:pPr>
      <w:r>
        <w:rPr/>
        <w:t xml:space="preserve">A subsequent feature audit found that only decision contribution is active: proposed scores equal 0.15 times the decision-count baseline. A5/A6 changes are entirely weight renormalisation and preserve rankings; none of the 34 slides has recorded timing. Read </w:t>
      </w:r>
      <w:r>
        <w:rPr>
          <w:rStyle w:val="SourceText"/>
        </w:rPr>
        <w:t>RESEARCH_VALIDITY_REVIEW.md</w:t>
      </w:r>
      <w:r>
        <w:rPr/>
        <w:t xml:space="preserve"> before interpreting these charts. A zero change is a legitimate result. It can indicate absent features or no usable temporal information, rather than successful ablation. Threshold tuning is a calibration study; A2–A7 are the component-removal study. Neither is evidence of superior influence accuracy without independent labels.</w:t>
      </w:r>
    </w:p>
    <w:p>
      <w:pPr>
        <w:pStyle w:val="Heading2"/>
        <w:bidi w:val="0"/>
        <w:rPr/>
      </w:pPr>
      <w:r>
        <w:rPr/>
        <w:t>Baseline comparison</w:t>
      </w:r>
    </w:p>
    <w:tbl>
      <w:tblPr>
        <w:tblW w:w="9081" w:type="dxa"/>
        <w:jc w:val="start"/>
        <w:tblInd w:w="0" w:type="dxa"/>
        <w:tblLayout w:type="fixed"/>
        <w:tblCellMar>
          <w:top w:w="28" w:type="dxa"/>
          <w:start w:w="28" w:type="dxa"/>
          <w:bottom w:w="28" w:type="dxa"/>
          <w:end w:w="28" w:type="dxa"/>
        </w:tblCellMar>
      </w:tblPr>
      <w:tblGrid>
        <w:gridCol w:w="3158"/>
        <w:gridCol w:w="1039"/>
        <w:gridCol w:w="1852"/>
        <w:gridCol w:w="3032"/>
      </w:tblGrid>
      <w:tr>
        <w:trPr>
          <w:tblHeader w:val="true"/>
        </w:trPr>
        <w:tc>
          <w:tcPr>
            <w:tcW w:w="3158" w:type="dxa"/>
            <w:tcBorders/>
            <w:vAlign w:val="center"/>
          </w:tcPr>
          <w:p>
            <w:pPr>
              <w:pStyle w:val="TableHeading"/>
              <w:suppressLineNumbers/>
              <w:bidi w:val="0"/>
              <w:spacing w:before="0" w:after="283"/>
              <w:jc w:val="center"/>
              <w:rPr/>
            </w:pPr>
            <w:r>
              <w:rPr/>
              <w:t>Method</w:t>
            </w:r>
          </w:p>
        </w:tc>
        <w:tc>
          <w:tcPr>
            <w:tcW w:w="1039" w:type="dxa"/>
            <w:tcBorders/>
            <w:vAlign w:val="center"/>
          </w:tcPr>
          <w:p>
            <w:pPr>
              <w:pStyle w:val="TableHeading"/>
              <w:suppressLineNumbers/>
              <w:bidi w:val="0"/>
              <w:spacing w:before="0" w:after="283"/>
              <w:jc w:val="center"/>
              <w:rPr/>
            </w:pPr>
            <w:r>
              <w:rPr/>
              <w:t>Clusters</w:t>
            </w:r>
          </w:p>
        </w:tc>
        <w:tc>
          <w:tcPr>
            <w:tcW w:w="1852" w:type="dxa"/>
            <w:tcBorders/>
            <w:vAlign w:val="center"/>
          </w:tcPr>
          <w:p>
            <w:pPr>
              <w:pStyle w:val="TableHeading"/>
              <w:suppressLineNumbers/>
              <w:bidi w:val="0"/>
              <w:spacing w:before="0" w:after="283"/>
              <w:jc w:val="center"/>
              <w:rPr/>
            </w:pPr>
            <w:r>
              <w:rPr/>
              <w:t>Nonzero scores</w:t>
            </w:r>
          </w:p>
        </w:tc>
        <w:tc>
          <w:tcPr>
            <w:tcW w:w="3032" w:type="dxa"/>
            <w:tcBorders/>
            <w:vAlign w:val="center"/>
          </w:tcPr>
          <w:p>
            <w:pPr>
              <w:pStyle w:val="TableHeading"/>
              <w:suppressLineNumbers/>
              <w:bidi w:val="0"/>
              <w:spacing w:before="0" w:after="283"/>
              <w:jc w:val="center"/>
              <w:rPr/>
            </w:pPr>
            <w:r>
              <w:rPr/>
              <w:t>Human ranking accuracy</w:t>
            </w:r>
          </w:p>
        </w:tc>
      </w:tr>
      <w:tr>
        <w:trPr/>
        <w:tc>
          <w:tcPr>
            <w:tcW w:w="3158" w:type="dxa"/>
            <w:tcBorders/>
            <w:vAlign w:val="center"/>
          </w:tcPr>
          <w:p>
            <w:pPr>
              <w:pStyle w:val="TableContents"/>
              <w:bidi w:val="0"/>
              <w:spacing w:before="0" w:after="283"/>
              <w:rPr/>
            </w:pPr>
            <w:r>
              <w:rPr/>
              <w:t>B1_speaking_time</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B2_speaking_time_turns</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B3_decision_event_count</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B5_transcript_only</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B4_decision_evidence_count</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0</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B6_audio_ppt_no_decision</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3032"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Proposed_decision_linked</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3032" w:type="dxa"/>
            <w:tcBorders/>
            <w:vAlign w:val="center"/>
          </w:tcPr>
          <w:p>
            <w:pPr>
              <w:pStyle w:val="TableContents"/>
              <w:bidi w:val="0"/>
              <w:spacing w:before="0" w:after="283"/>
              <w:rPr/>
            </w:pPr>
            <w:r>
              <w:rPr/>
              <w:t>Unmeasured</w:t>
            </w:r>
          </w:p>
        </w:tc>
      </w:tr>
    </w:tbl>
    <w:p>
      <w:pPr>
        <w:pStyle w:val="BodyText"/>
        <w:bidi w:val="0"/>
        <w:rPr/>
      </w:pPr>
      <w:r>
        <w:rPr/>
        <w:t>Six baseline implementations and the proposed method are available. Nonzero-score coverage describes outputs, not correctness. Baseline score scales differ, so score magnitudes are not compared as accuracy. No comparison with commercial systems or published paper scores is made unless the same audio, references and protocol are actually run.</w:t>
      </w:r>
    </w:p>
    <w:p>
      <w:pPr>
        <w:pStyle w:val="Heading2"/>
        <w:bidi w:val="0"/>
        <w:rPr/>
      </w:pPr>
      <w:r>
        <w:rPr/>
        <w:t>Reproduce</w:t>
      </w:r>
    </w:p>
    <w:p>
      <w:pPr>
        <w:pStyle w:val="BodyText"/>
        <w:bidi w:val="0"/>
        <w:rPr/>
      </w:pPr>
      <w:r>
        <w:rPr/>
        <w:t>From the project root:</w:t>
      </w:r>
    </w:p>
    <w:p>
      <w:pPr>
        <w:pStyle w:val="PreformattedText"/>
        <w:bidi w:val="0"/>
        <w:rPr/>
      </w:pPr>
      <w:r>
        <w:rPr>
          <w:rStyle w:val="SourceText"/>
        </w:rPr>
        <w:t>.venv/bin/python scripts/build_comparative_evaluation.py</w:t>
      </w:r>
    </w:p>
    <w:p>
      <w:pPr>
        <w:pStyle w:val="PreformattedText"/>
        <w:bidi w:val="0"/>
        <w:rPr/>
      </w:pPr>
      <w:r>
        <w:rPr>
          <w:rStyle w:val="SourceText"/>
        </w:rPr>
        <w:t>.venv/bin/python scripts/build_research_documents.py</w:t>
      </w:r>
    </w:p>
    <w:p>
      <w:pPr>
        <w:pStyle w:val="PreformattedText"/>
        <w:bidi w:val="0"/>
        <w:spacing w:before="0" w:after="283"/>
        <w:rPr/>
      </w:pPr>
      <w:r>
        <w:rPr>
          <w:rStyle w:val="SourceText"/>
        </w:rPr>
        <w:t>.venv/bin/python scripts/check_research_package.py</w:t>
      </w:r>
    </w:p>
    <w:p>
      <w:pPr>
        <w:pStyle w:val="BodyText"/>
        <w:bidi w:val="0"/>
        <w:rPr/>
      </w:pPr>
      <w:r>
        <w:rPr/>
        <w:t>The first command re-scores saved AMI predictions and reads completed downstream variants; it does not rerun neural inference. To recompute downstream variants for an independently annotated meeting:</w:t>
      </w:r>
    </w:p>
    <w:p>
      <w:pPr>
        <w:pStyle w:val="PreformattedText"/>
        <w:bidi w:val="0"/>
        <w:spacing w:before="0" w:after="283"/>
        <w:rPr/>
      </w:pPr>
      <w:r>
        <w:rPr>
          <w:rStyle w:val="SourceText"/>
        </w:rPr>
        <w:t>.venv/bin/python scripts/run_evaluation.py --meeting-id YOUR_MEETING_ID --annotations YOUR_ANNOTATIONS.json --ablation --output-dir outputs/evaluation/YOUR_RUN</w:t>
      </w:r>
    </w:p>
    <w:p>
      <w:pPr>
        <w:pStyle w:val="BodyText"/>
        <w:bidi w:val="0"/>
        <w:spacing w:before="0" w:after="283"/>
        <w:rPr/>
      </w:pPr>
      <w:r>
        <w:rPr/>
        <w:t>Human raters must annotate before inspecting model outputs. Keep speaker/session splits and report rater agreement. Missing reference fields remain null, and graphs must not plot them as zero.</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