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rPr/>
      </w:pPr>
      <w:r>
        <w:rPr/>
        <w:t>First supervised decision-discussion experiment</w:t>
      </w:r>
    </w:p>
    <w:p>
      <w:pPr>
        <w:pStyle w:val="BodyText"/>
        <w:bidi w:val="0"/>
        <w:rPr/>
      </w:pPr>
      <w:r>
        <w:rPr/>
        <w:t>This experiment measures a real NLP task against independent manual decision spans. It is research-only and does not replace the application's rules or validate influence.</w:t>
      </w:r>
    </w:p>
    <w:p>
      <w:pPr>
        <w:pStyle w:val="BodyText"/>
        <w:bidi w:val="0"/>
        <w:rPr/>
      </w:pPr>
      <w:r>
        <w:rPr/>
        <w:t>Task: classify whether a reference dialogue act belongs to a manually annotated decision discussion. An act is positive when at least 50% of its lexical word IDs are inside annotated decision spans. This detects discussion membership, not final decisions or action ownership. Outside-span acts are assumed negative; annotation completeness requires review.</w:t>
      </w:r>
    </w:p>
    <w:p>
      <w:pPr>
        <w:pStyle w:val="BodyText"/>
        <w:bidi w:val="0"/>
        <w:rPr/>
      </w:pPr>
      <w:r>
        <w:rPr/>
        <w:t>Inputs are oracle reference text and dialogue-act boundaries. Annotator dialogue-act class labels are excluded from features. Data are separated by project/meeting series: 29 training meetings (20,339 acts), six development meetings (3,739 acts), and 12 test meetings (11,136 acts, 2,481 positive). The test set contains only three independent series. No matching manual decision annotations were found in the official BUT test partition, so this is explicitly a custom group-separated split.</w:t>
      </w:r>
    </w:p>
    <w:p>
      <w:pPr>
        <w:pStyle w:val="BodyText"/>
        <w:bidi w:val="0"/>
        <w:rPr/>
      </w:pPr>
      <w:r>
        <w:rPr/>
        <w:t>Linear TF-IDF classifiers use current-act word n-grams, character n-grams and neighbouring-act context. C and decision thresholds are selected on development only. All prespecified variants are reported. No generative model, new speech-model download or production model installation was used.</w:t>
      </w:r>
    </w:p>
    <w:tbl>
      <w:tblPr>
        <w:tblW w:w="7250" w:type="dxa"/>
        <w:jc w:val="start"/>
        <w:tblInd w:w="0" w:type="dxa"/>
        <w:tblLayout w:type="fixed"/>
        <w:tblCellMar>
          <w:top w:w="28" w:type="dxa"/>
          <w:start w:w="28" w:type="dxa"/>
          <w:bottom w:w="28" w:type="dxa"/>
          <w:end w:w="28" w:type="dxa"/>
        </w:tblCellMar>
      </w:tblPr>
      <w:tblGrid>
        <w:gridCol w:w="3361"/>
        <w:gridCol w:w="1431"/>
        <w:gridCol w:w="1068"/>
        <w:gridCol w:w="665"/>
        <w:gridCol w:w="725"/>
      </w:tblGrid>
      <w:tr>
        <w:trPr>
          <w:tblHeader w:val="true"/>
        </w:trPr>
        <w:tc>
          <w:tcPr>
            <w:tcW w:w="3361" w:type="dxa"/>
            <w:tcBorders/>
            <w:vAlign w:val="center"/>
          </w:tcPr>
          <w:p>
            <w:pPr>
              <w:pStyle w:val="TableHeading"/>
              <w:suppressLineNumbers/>
              <w:bidi w:val="0"/>
              <w:spacing w:before="0" w:after="283"/>
              <w:jc w:val="center"/>
              <w:rPr/>
            </w:pPr>
            <w:r>
              <w:rPr/>
              <w:t>Method</w:t>
            </w:r>
          </w:p>
        </w:tc>
        <w:tc>
          <w:tcPr>
            <w:tcW w:w="1431" w:type="dxa"/>
            <w:tcBorders/>
            <w:vAlign w:val="center"/>
          </w:tcPr>
          <w:p>
            <w:pPr>
              <w:pStyle w:val="TableHeading"/>
              <w:suppressLineNumbers/>
              <w:bidi w:val="0"/>
              <w:spacing w:before="0" w:after="283"/>
              <w:jc w:val="center"/>
              <w:rPr/>
            </w:pPr>
            <w:r>
              <w:rPr/>
              <w:t>Precision %</w:t>
            </w:r>
          </w:p>
        </w:tc>
        <w:tc>
          <w:tcPr>
            <w:tcW w:w="1068" w:type="dxa"/>
            <w:tcBorders/>
            <w:vAlign w:val="center"/>
          </w:tcPr>
          <w:p>
            <w:pPr>
              <w:pStyle w:val="TableHeading"/>
              <w:suppressLineNumbers/>
              <w:bidi w:val="0"/>
              <w:spacing w:before="0" w:after="283"/>
              <w:jc w:val="center"/>
              <w:rPr/>
            </w:pPr>
            <w:r>
              <w:rPr/>
              <w:t>Recall %</w:t>
            </w:r>
          </w:p>
        </w:tc>
        <w:tc>
          <w:tcPr>
            <w:tcW w:w="665" w:type="dxa"/>
            <w:tcBorders/>
            <w:vAlign w:val="center"/>
          </w:tcPr>
          <w:p>
            <w:pPr>
              <w:pStyle w:val="TableHeading"/>
              <w:suppressLineNumbers/>
              <w:bidi w:val="0"/>
              <w:spacing w:before="0" w:after="283"/>
              <w:jc w:val="center"/>
              <w:rPr/>
            </w:pPr>
            <w:r>
              <w:rPr/>
              <w:t>F1 %</w:t>
            </w:r>
          </w:p>
        </w:tc>
        <w:tc>
          <w:tcPr>
            <w:tcW w:w="725" w:type="dxa"/>
            <w:tcBorders/>
            <w:vAlign w:val="center"/>
          </w:tcPr>
          <w:p>
            <w:pPr>
              <w:pStyle w:val="TableHeading"/>
              <w:suppressLineNumbers/>
              <w:bidi w:val="0"/>
              <w:spacing w:before="0" w:after="283"/>
              <w:jc w:val="center"/>
              <w:rPr/>
            </w:pPr>
            <w:r>
              <w:rPr/>
              <w:t>AP %</w:t>
            </w:r>
          </w:p>
        </w:tc>
      </w:tr>
      <w:tr>
        <w:trPr/>
        <w:tc>
          <w:tcPr>
            <w:tcW w:w="3361" w:type="dxa"/>
            <w:tcBorders/>
            <w:vAlign w:val="center"/>
          </w:tcPr>
          <w:p>
            <w:pPr>
              <w:pStyle w:val="TableContents"/>
              <w:bidi w:val="0"/>
              <w:spacing w:before="0" w:after="283"/>
              <w:rPr/>
            </w:pPr>
            <w:r>
              <w:rPr/>
              <w:t>always_positive</w:t>
            </w:r>
          </w:p>
        </w:tc>
        <w:tc>
          <w:tcPr>
            <w:tcW w:w="1431" w:type="dxa"/>
            <w:tcBorders/>
            <w:vAlign w:val="center"/>
          </w:tcPr>
          <w:p>
            <w:pPr>
              <w:pStyle w:val="TableContents"/>
              <w:bidi w:val="0"/>
              <w:spacing w:before="0" w:after="283"/>
              <w:rPr/>
            </w:pPr>
            <w:r>
              <w:rPr/>
              <w:t>22.28</w:t>
            </w:r>
          </w:p>
        </w:tc>
        <w:tc>
          <w:tcPr>
            <w:tcW w:w="1068" w:type="dxa"/>
            <w:tcBorders/>
            <w:vAlign w:val="center"/>
          </w:tcPr>
          <w:p>
            <w:pPr>
              <w:pStyle w:val="TableContents"/>
              <w:bidi w:val="0"/>
              <w:spacing w:before="0" w:after="283"/>
              <w:rPr/>
            </w:pPr>
            <w:r>
              <w:rPr/>
              <w:t>100.00</w:t>
            </w:r>
          </w:p>
        </w:tc>
        <w:tc>
          <w:tcPr>
            <w:tcW w:w="665" w:type="dxa"/>
            <w:tcBorders/>
            <w:vAlign w:val="center"/>
          </w:tcPr>
          <w:p>
            <w:pPr>
              <w:pStyle w:val="TableContents"/>
              <w:bidi w:val="0"/>
              <w:spacing w:before="0" w:after="283"/>
              <w:rPr/>
            </w:pPr>
            <w:r>
              <w:rPr/>
              <w:t>36.44</w:t>
            </w:r>
          </w:p>
        </w:tc>
        <w:tc>
          <w:tcPr>
            <w:tcW w:w="725" w:type="dxa"/>
            <w:tcBorders/>
            <w:vAlign w:val="center"/>
          </w:tcPr>
          <w:p>
            <w:pPr>
              <w:pStyle w:val="TableContents"/>
              <w:bidi w:val="0"/>
              <w:spacing w:before="0" w:after="283"/>
              <w:rPr/>
            </w:pPr>
            <w:r>
              <w:rPr/>
              <w:t>N/A</w:t>
            </w:r>
          </w:p>
        </w:tc>
      </w:tr>
      <w:tr>
        <w:trPr/>
        <w:tc>
          <w:tcPr>
            <w:tcW w:w="3361" w:type="dxa"/>
            <w:tcBorders/>
            <w:vAlign w:val="center"/>
          </w:tcPr>
          <w:p>
            <w:pPr>
              <w:pStyle w:val="TableContents"/>
              <w:bidi w:val="0"/>
              <w:spacing w:before="0" w:after="283"/>
              <w:rPr/>
            </w:pPr>
            <w:r>
              <w:rPr/>
              <w:t>always_negative</w:t>
            </w:r>
          </w:p>
        </w:tc>
        <w:tc>
          <w:tcPr>
            <w:tcW w:w="1431" w:type="dxa"/>
            <w:tcBorders/>
            <w:vAlign w:val="center"/>
          </w:tcPr>
          <w:p>
            <w:pPr>
              <w:pStyle w:val="TableContents"/>
              <w:bidi w:val="0"/>
              <w:spacing w:before="0" w:after="283"/>
              <w:rPr/>
            </w:pPr>
            <w:r>
              <w:rPr/>
              <w:t>0.00</w:t>
            </w:r>
          </w:p>
        </w:tc>
        <w:tc>
          <w:tcPr>
            <w:tcW w:w="1068" w:type="dxa"/>
            <w:tcBorders/>
            <w:vAlign w:val="center"/>
          </w:tcPr>
          <w:p>
            <w:pPr>
              <w:pStyle w:val="TableContents"/>
              <w:bidi w:val="0"/>
              <w:spacing w:before="0" w:after="283"/>
              <w:rPr/>
            </w:pPr>
            <w:r>
              <w:rPr/>
              <w:t>0.00</w:t>
            </w:r>
          </w:p>
        </w:tc>
        <w:tc>
          <w:tcPr>
            <w:tcW w:w="665" w:type="dxa"/>
            <w:tcBorders/>
            <w:vAlign w:val="center"/>
          </w:tcPr>
          <w:p>
            <w:pPr>
              <w:pStyle w:val="TableContents"/>
              <w:bidi w:val="0"/>
              <w:spacing w:before="0" w:after="283"/>
              <w:rPr/>
            </w:pPr>
            <w:r>
              <w:rPr/>
              <w:t>0.00</w:t>
            </w:r>
          </w:p>
        </w:tc>
        <w:tc>
          <w:tcPr>
            <w:tcW w:w="725" w:type="dxa"/>
            <w:tcBorders/>
            <w:vAlign w:val="center"/>
          </w:tcPr>
          <w:p>
            <w:pPr>
              <w:pStyle w:val="TableContents"/>
              <w:bidi w:val="0"/>
              <w:spacing w:before="0" w:after="283"/>
              <w:rPr/>
            </w:pPr>
            <w:r>
              <w:rPr/>
              <w:t>N/A</w:t>
            </w:r>
          </w:p>
        </w:tc>
      </w:tr>
      <w:tr>
        <w:trPr/>
        <w:tc>
          <w:tcPr>
            <w:tcW w:w="3361" w:type="dxa"/>
            <w:tcBorders/>
            <w:vAlign w:val="center"/>
          </w:tcPr>
          <w:p>
            <w:pPr>
              <w:pStyle w:val="TableContents"/>
              <w:bidi w:val="0"/>
              <w:spacing w:before="0" w:after="283"/>
              <w:rPr/>
            </w:pPr>
            <w:r>
              <w:rPr/>
              <w:t>current_explicit_decision_rule</w:t>
            </w:r>
          </w:p>
        </w:tc>
        <w:tc>
          <w:tcPr>
            <w:tcW w:w="1431" w:type="dxa"/>
            <w:tcBorders/>
            <w:vAlign w:val="center"/>
          </w:tcPr>
          <w:p>
            <w:pPr>
              <w:pStyle w:val="TableContents"/>
              <w:bidi w:val="0"/>
              <w:spacing w:before="0" w:after="283"/>
              <w:rPr/>
            </w:pPr>
            <w:r>
              <w:rPr/>
              <w:t>30.77</w:t>
            </w:r>
          </w:p>
        </w:tc>
        <w:tc>
          <w:tcPr>
            <w:tcW w:w="1068" w:type="dxa"/>
            <w:tcBorders/>
            <w:vAlign w:val="center"/>
          </w:tcPr>
          <w:p>
            <w:pPr>
              <w:pStyle w:val="TableContents"/>
              <w:bidi w:val="0"/>
              <w:spacing w:before="0" w:after="283"/>
              <w:rPr/>
            </w:pPr>
            <w:r>
              <w:rPr/>
              <w:t>0.16</w:t>
            </w:r>
          </w:p>
        </w:tc>
        <w:tc>
          <w:tcPr>
            <w:tcW w:w="665" w:type="dxa"/>
            <w:tcBorders/>
            <w:vAlign w:val="center"/>
          </w:tcPr>
          <w:p>
            <w:pPr>
              <w:pStyle w:val="TableContents"/>
              <w:bidi w:val="0"/>
              <w:spacing w:before="0" w:after="283"/>
              <w:rPr/>
            </w:pPr>
            <w:r>
              <w:rPr/>
              <w:t>0.32</w:t>
            </w:r>
          </w:p>
        </w:tc>
        <w:tc>
          <w:tcPr>
            <w:tcW w:w="725" w:type="dxa"/>
            <w:tcBorders/>
            <w:vAlign w:val="center"/>
          </w:tcPr>
          <w:p>
            <w:pPr>
              <w:pStyle w:val="TableContents"/>
              <w:bidi w:val="0"/>
              <w:spacing w:before="0" w:after="283"/>
              <w:rPr/>
            </w:pPr>
            <w:r>
              <w:rPr/>
              <w:t>N/A</w:t>
            </w:r>
          </w:p>
        </w:tc>
      </w:tr>
      <w:tr>
        <w:trPr/>
        <w:tc>
          <w:tcPr>
            <w:tcW w:w="3361" w:type="dxa"/>
            <w:tcBorders/>
            <w:vAlign w:val="center"/>
          </w:tcPr>
          <w:p>
            <w:pPr>
              <w:pStyle w:val="TableContents"/>
              <w:bidi w:val="0"/>
              <w:spacing w:before="0" w:after="283"/>
              <w:rPr/>
            </w:pPr>
            <w:r>
              <w:rPr/>
              <w:t>word</w:t>
            </w:r>
          </w:p>
        </w:tc>
        <w:tc>
          <w:tcPr>
            <w:tcW w:w="1431" w:type="dxa"/>
            <w:tcBorders/>
            <w:vAlign w:val="center"/>
          </w:tcPr>
          <w:p>
            <w:pPr>
              <w:pStyle w:val="TableContents"/>
              <w:bidi w:val="0"/>
              <w:spacing w:before="0" w:after="283"/>
              <w:rPr/>
            </w:pPr>
            <w:r>
              <w:rPr/>
              <w:t>23.69</w:t>
            </w:r>
          </w:p>
        </w:tc>
        <w:tc>
          <w:tcPr>
            <w:tcW w:w="1068" w:type="dxa"/>
            <w:tcBorders/>
            <w:vAlign w:val="center"/>
          </w:tcPr>
          <w:p>
            <w:pPr>
              <w:pStyle w:val="TableContents"/>
              <w:bidi w:val="0"/>
              <w:spacing w:before="0" w:after="283"/>
              <w:rPr/>
            </w:pPr>
            <w:r>
              <w:rPr/>
              <w:t>93.87</w:t>
            </w:r>
          </w:p>
        </w:tc>
        <w:tc>
          <w:tcPr>
            <w:tcW w:w="665" w:type="dxa"/>
            <w:tcBorders/>
            <w:vAlign w:val="center"/>
          </w:tcPr>
          <w:p>
            <w:pPr>
              <w:pStyle w:val="TableContents"/>
              <w:bidi w:val="0"/>
              <w:spacing w:before="0" w:after="283"/>
              <w:rPr/>
            </w:pPr>
            <w:r>
              <w:rPr/>
              <w:t>37.83</w:t>
            </w:r>
          </w:p>
        </w:tc>
        <w:tc>
          <w:tcPr>
            <w:tcW w:w="725" w:type="dxa"/>
            <w:tcBorders/>
            <w:vAlign w:val="center"/>
          </w:tcPr>
          <w:p>
            <w:pPr>
              <w:pStyle w:val="TableContents"/>
              <w:bidi w:val="0"/>
              <w:spacing w:before="0" w:after="283"/>
              <w:rPr/>
            </w:pPr>
            <w:r>
              <w:rPr/>
              <w:t>30.08</w:t>
            </w:r>
          </w:p>
        </w:tc>
      </w:tr>
      <w:tr>
        <w:trPr/>
        <w:tc>
          <w:tcPr>
            <w:tcW w:w="3361" w:type="dxa"/>
            <w:tcBorders/>
            <w:vAlign w:val="center"/>
          </w:tcPr>
          <w:p>
            <w:pPr>
              <w:pStyle w:val="TableContents"/>
              <w:bidi w:val="0"/>
              <w:spacing w:before="0" w:after="283"/>
              <w:rPr/>
            </w:pPr>
            <w:r>
              <w:rPr/>
              <w:t>char</w:t>
            </w:r>
          </w:p>
        </w:tc>
        <w:tc>
          <w:tcPr>
            <w:tcW w:w="1431" w:type="dxa"/>
            <w:tcBorders/>
            <w:vAlign w:val="center"/>
          </w:tcPr>
          <w:p>
            <w:pPr>
              <w:pStyle w:val="TableContents"/>
              <w:bidi w:val="0"/>
              <w:spacing w:before="0" w:after="283"/>
              <w:rPr/>
            </w:pPr>
            <w:r>
              <w:rPr/>
              <w:t>23.61</w:t>
            </w:r>
          </w:p>
        </w:tc>
        <w:tc>
          <w:tcPr>
            <w:tcW w:w="1068" w:type="dxa"/>
            <w:tcBorders/>
            <w:vAlign w:val="center"/>
          </w:tcPr>
          <w:p>
            <w:pPr>
              <w:pStyle w:val="TableContents"/>
              <w:bidi w:val="0"/>
              <w:spacing w:before="0" w:after="283"/>
              <w:rPr/>
            </w:pPr>
            <w:r>
              <w:rPr/>
              <w:t>96.09</w:t>
            </w:r>
          </w:p>
        </w:tc>
        <w:tc>
          <w:tcPr>
            <w:tcW w:w="665" w:type="dxa"/>
            <w:tcBorders/>
            <w:vAlign w:val="center"/>
          </w:tcPr>
          <w:p>
            <w:pPr>
              <w:pStyle w:val="TableContents"/>
              <w:bidi w:val="0"/>
              <w:spacing w:before="0" w:after="283"/>
              <w:rPr/>
            </w:pPr>
            <w:r>
              <w:rPr/>
              <w:t>37.90</w:t>
            </w:r>
          </w:p>
        </w:tc>
        <w:tc>
          <w:tcPr>
            <w:tcW w:w="725" w:type="dxa"/>
            <w:tcBorders/>
            <w:vAlign w:val="center"/>
          </w:tcPr>
          <w:p>
            <w:pPr>
              <w:pStyle w:val="TableContents"/>
              <w:bidi w:val="0"/>
              <w:spacing w:before="0" w:after="283"/>
              <w:rPr/>
            </w:pPr>
            <w:r>
              <w:rPr/>
              <w:t>31.02</w:t>
            </w:r>
          </w:p>
        </w:tc>
      </w:tr>
      <w:tr>
        <w:trPr/>
        <w:tc>
          <w:tcPr>
            <w:tcW w:w="3361" w:type="dxa"/>
            <w:tcBorders/>
            <w:vAlign w:val="center"/>
          </w:tcPr>
          <w:p>
            <w:pPr>
              <w:pStyle w:val="TableContents"/>
              <w:bidi w:val="0"/>
              <w:spacing w:before="0" w:after="283"/>
              <w:rPr/>
            </w:pPr>
            <w:r>
              <w:rPr/>
              <w:t>word_char</w:t>
            </w:r>
          </w:p>
        </w:tc>
        <w:tc>
          <w:tcPr>
            <w:tcW w:w="1431" w:type="dxa"/>
            <w:tcBorders/>
            <w:vAlign w:val="center"/>
          </w:tcPr>
          <w:p>
            <w:pPr>
              <w:pStyle w:val="TableContents"/>
              <w:bidi w:val="0"/>
              <w:spacing w:before="0" w:after="283"/>
              <w:rPr/>
            </w:pPr>
            <w:r>
              <w:rPr/>
              <w:t>24.28</w:t>
            </w:r>
          </w:p>
        </w:tc>
        <w:tc>
          <w:tcPr>
            <w:tcW w:w="1068" w:type="dxa"/>
            <w:tcBorders/>
            <w:vAlign w:val="center"/>
          </w:tcPr>
          <w:p>
            <w:pPr>
              <w:pStyle w:val="TableContents"/>
              <w:bidi w:val="0"/>
              <w:spacing w:before="0" w:after="283"/>
              <w:rPr/>
            </w:pPr>
            <w:r>
              <w:rPr/>
              <w:t>91.29</w:t>
            </w:r>
          </w:p>
        </w:tc>
        <w:tc>
          <w:tcPr>
            <w:tcW w:w="665" w:type="dxa"/>
            <w:tcBorders/>
            <w:vAlign w:val="center"/>
          </w:tcPr>
          <w:p>
            <w:pPr>
              <w:pStyle w:val="TableContents"/>
              <w:bidi w:val="0"/>
              <w:spacing w:before="0" w:after="283"/>
              <w:rPr/>
            </w:pPr>
            <w:r>
              <w:rPr/>
              <w:t>38.36</w:t>
            </w:r>
          </w:p>
        </w:tc>
        <w:tc>
          <w:tcPr>
            <w:tcW w:w="725" w:type="dxa"/>
            <w:tcBorders/>
            <w:vAlign w:val="center"/>
          </w:tcPr>
          <w:p>
            <w:pPr>
              <w:pStyle w:val="TableContents"/>
              <w:bidi w:val="0"/>
              <w:spacing w:before="0" w:after="283"/>
              <w:rPr/>
            </w:pPr>
            <w:r>
              <w:rPr/>
              <w:t>30.16</w:t>
            </w:r>
          </w:p>
        </w:tc>
      </w:tr>
      <w:tr>
        <w:trPr/>
        <w:tc>
          <w:tcPr>
            <w:tcW w:w="3361" w:type="dxa"/>
            <w:tcBorders/>
            <w:vAlign w:val="center"/>
          </w:tcPr>
          <w:p>
            <w:pPr>
              <w:pStyle w:val="TableContents"/>
              <w:bidi w:val="0"/>
              <w:spacing w:before="0" w:after="283"/>
              <w:rPr/>
            </w:pPr>
            <w:r>
              <w:rPr/>
              <w:t>word_char_context</w:t>
            </w:r>
          </w:p>
        </w:tc>
        <w:tc>
          <w:tcPr>
            <w:tcW w:w="1431" w:type="dxa"/>
            <w:tcBorders/>
            <w:vAlign w:val="center"/>
          </w:tcPr>
          <w:p>
            <w:pPr>
              <w:pStyle w:val="TableContents"/>
              <w:bidi w:val="0"/>
              <w:spacing w:before="0" w:after="283"/>
              <w:rPr/>
            </w:pPr>
            <w:r>
              <w:rPr/>
              <w:t>28.18</w:t>
            </w:r>
          </w:p>
        </w:tc>
        <w:tc>
          <w:tcPr>
            <w:tcW w:w="1068" w:type="dxa"/>
            <w:tcBorders/>
            <w:vAlign w:val="center"/>
          </w:tcPr>
          <w:p>
            <w:pPr>
              <w:pStyle w:val="TableContents"/>
              <w:bidi w:val="0"/>
              <w:spacing w:before="0" w:after="283"/>
              <w:rPr/>
            </w:pPr>
            <w:r>
              <w:rPr/>
              <w:t>85.17</w:t>
            </w:r>
          </w:p>
        </w:tc>
        <w:tc>
          <w:tcPr>
            <w:tcW w:w="665" w:type="dxa"/>
            <w:tcBorders/>
            <w:vAlign w:val="center"/>
          </w:tcPr>
          <w:p>
            <w:pPr>
              <w:pStyle w:val="TableContents"/>
              <w:bidi w:val="0"/>
              <w:spacing w:before="0" w:after="283"/>
              <w:rPr/>
            </w:pPr>
            <w:r>
              <w:rPr/>
              <w:t>42.35</w:t>
            </w:r>
          </w:p>
        </w:tc>
        <w:tc>
          <w:tcPr>
            <w:tcW w:w="725" w:type="dxa"/>
            <w:tcBorders/>
            <w:vAlign w:val="center"/>
          </w:tcPr>
          <w:p>
            <w:pPr>
              <w:pStyle w:val="TableContents"/>
              <w:bidi w:val="0"/>
              <w:spacing w:before="0" w:after="283"/>
              <w:rPr/>
            </w:pPr>
            <w:r>
              <w:rPr/>
              <w:t>36.80</w:t>
            </w:r>
          </w:p>
        </w:tc>
      </w:tr>
    </w:tbl>
    <w:p>
      <w:pPr>
        <w:pStyle w:val="BodyText"/>
        <w:bidi w:val="0"/>
        <w:rPr/>
      </w:pPr>
      <w:r>
        <w:rPr/>
        <w:t>The explicit-decision rule is a narrow cue baseline on a broader discussion-membership task, so beating it alone would be weak evidence. Word-only, character-only and always-positive baselines are needed. Context produces a measurable improvement over word-only here, but precision remains low and performance varies substantially by meeting. These results are an initial experiment, not sufficient to claim robust decision extraction.</w:t>
      </w:r>
    </w:p>
    <w:p>
      <w:pPr>
        <w:pStyle w:val="BodyText"/>
        <w:bidi w:val="0"/>
        <w:rPr/>
      </w:pPr>
      <w:r>
        <w:rPr/>
        <w:t>The study supports two nested comparisons: word+character+context versus word+character tests context given both lexical features; word+character versus word-only tests character features without context. Character-only is a separate baseline. Full-minus-character and full-minus-word are not tested, so this is not a complete factorial ablation. Each variant is retrained and selected on the same development split. No comparison uses renormalised influence-score magnitudes.</w:t>
      </w:r>
    </w:p>
    <w:p>
      <w:pPr>
        <w:pStyle w:val="BodyText"/>
        <w:bidi w:val="0"/>
        <w:rPr/>
      </w:pPr>
      <w:r>
        <w:rPr/>
        <w:t>A descriptive series-level bootstrap interval for the dev-selected model's F1 is 36.29%–47.18%. With only three independent series this cannot justify a strong significance claim.</w:t>
      </w:r>
    </w:p>
    <w:p>
      <w:pPr>
        <w:pStyle w:val="BodyText"/>
        <w:bidi w:val="0"/>
        <w:rPr/>
      </w:pPr>
      <w:r>
        <w:rPr/>
        <w:t xml:space="preserve">The main failure is false positives. Read the confusion matrices and per-meeting results in </w:t>
      </w:r>
      <w:r>
        <w:rPr>
          <w:rStyle w:val="SourceText"/>
        </w:rPr>
        <w:t>evaluation/decision_discussion/summary.json</w:t>
      </w:r>
      <w:r>
        <w:rPr/>
        <w:t>. Improving precision is the next development objective; do not adjust thresholds using this test set. Any new model iteration must be reported transparently as further development, with a fresh independent final evaluation before confirmatory claims.</w:t>
      </w:r>
    </w:p>
    <w:p>
      <w:pPr>
        <w:pStyle w:val="BodyText"/>
        <w:bidi w:val="0"/>
        <w:rPr/>
      </w:pPr>
      <w:r>
        <w:rPr/>
        <w:drawing>
          <wp:inline distT="0" distB="0" distL="0" distR="0">
            <wp:extent cx="5715000" cy="2505075"/>
            <wp:effectExtent l="0" t="0" r="0" b="0"/>
            <wp:docPr id="1" name="Image1" title="Decision discussion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title="Decision discussion comparison"/>
                    <pic:cNvPicPr>
                      <a:picLocks noChangeAspect="1" noChangeArrowheads="1"/>
                    </pic:cNvPicPr>
                  </pic:nvPicPr>
                  <pic:blipFill>
                    <a:blip r:embed="rId2"/>
                    <a:stretch>
                      <a:fillRect/>
                    </a:stretch>
                  </pic:blipFill>
                  <pic:spPr bwMode="auto">
                    <a:xfrm>
                      <a:off x="0" y="0"/>
                      <a:ext cx="5715000" cy="2505075"/>
                    </a:xfrm>
                    <a:prstGeom prst="rect">
                      <a:avLst/>
                    </a:prstGeom>
                    <a:noFill/>
                  </pic:spPr>
                </pic:pic>
              </a:graphicData>
            </a:graphic>
          </wp:inline>
        </w:drawing>
      </w:r>
    </w:p>
    <w:p>
      <w:pPr>
        <w:pStyle w:val="BodyText"/>
        <w:bidi w:val="0"/>
        <w:rPr/>
      </w:pPr>
      <w:r>
        <w:rPr/>
        <w:t>Reproduce from the project root:</w:t>
      </w:r>
    </w:p>
    <w:p>
      <w:pPr>
        <w:pStyle w:val="PreformattedText"/>
        <w:bidi w:val="0"/>
        <w:rPr/>
      </w:pPr>
      <w:r>
        <w:rPr>
          <w:rStyle w:val="SourceText"/>
        </w:rPr>
        <w:t>OPENBLAS_NUM_THREADS=2 OMP_NUM_THREADS=2 .venv/bin/python scripts/evaluate_decision_discussions.py</w:t>
      </w:r>
    </w:p>
    <w:p>
      <w:pPr>
        <w:pStyle w:val="PreformattedText"/>
        <w:bidi w:val="0"/>
        <w:spacing w:before="0" w:after="283"/>
        <w:rPr/>
      </w:pPr>
      <w:r>
        <w:rPr>
          <w:rStyle w:val="SourceText"/>
        </w:rPr>
        <w:t>.venv/bin/python scripts/report_decision_discussions.py</w:t>
      </w:r>
    </w:p>
    <w:p>
      <w:pPr>
        <w:pStyle w:val="BodyText"/>
        <w:bidi w:val="0"/>
        <w:spacing w:before="0" w:after="283"/>
        <w:rPr/>
      </w:pPr>
      <w:r>
        <w:rPr/>
        <w:t xml:space="preserve">Model artifacts and full text examples are under </w:t>
      </w:r>
      <w:r>
        <w:rPr>
          <w:rStyle w:val="SourceText"/>
        </w:rPr>
        <w:t>.runtime/research-decision-model/</w:t>
      </w:r>
      <w:r>
        <w:rPr/>
        <w:t xml:space="preserve">; they have not been loaded by the app. The prespecified split and selection description are in </w:t>
      </w:r>
      <w:r>
        <w:rPr>
          <w:rStyle w:val="SourceText"/>
        </w:rPr>
        <w:t>evaluation/decision_discussion/protocol.json</w:t>
      </w:r>
      <w:r>
        <w:rPr/>
        <w:t>. Provenance hashes are in the summary.</w:t>
      </w:r>
    </w:p>
    <w:sectPr>
      <w:type w:val="nextPage"/>
      <w:pgSz w:w="11906" w:h="16838"/>
      <w:pgMar w:left="1134" w:right="1134" w:gutter="0" w:header="0" w:top="1134" w:footer="0" w:bottom="1134"/>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oto Serif">
    <w:charset w:val="01"/>
    <w:family w:val="roman"/>
    <w:pitch w:val="variable"/>
  </w:font>
  <w:font w:name="Liberation Serif">
    <w:altName w:val="Times New Roman"/>
    <w:charset w:val="01"/>
    <w:family w:val="auto"/>
    <w:pitch w:val="default"/>
  </w:font>
  <w:font w:name="Noto Sans Mono">
    <w:charset w:val="01"/>
    <w:family w:val="modern"/>
    <w:pitch w:val="fixed"/>
  </w:font>
  <w:font w:name="Liberation Sans">
    <w:altName w:val="Arial"/>
    <w:charset w:val="01"/>
    <w:family w:val="swiss"/>
    <w:pitch w:val="variable"/>
  </w:font>
</w:fonts>
</file>

<file path=word/settings.xml><?xml version="1.0" encoding="utf-8"?>
<w:settings xmlns:w="http://schemas.openxmlformats.org/wordprocessingml/2006/main">
  <w:view w:val="web"/>
  <w:zoom w:percent="100"/>
  <w:defaultTabStop w:val="1134"/>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Noto Serif" w:hAnsi="Noto Serif" w:eastAsia="Noto Sans" w:cs="Free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Liberation Serif" w:cs="Liberation Serif"/>
      <w:color w:val="auto"/>
      <w:sz w:val="22"/>
      <w:szCs w:val="22"/>
      <w:lang w:val="en-US" w:eastAsia="zh-CN" w:bidi="hi-IN"/>
    </w:rPr>
  </w:style>
  <w:style w:type="paragraph" w:styleId="Heading1">
    <w:name w:val="heading 1"/>
    <w:basedOn w:val="Heading"/>
    <w:next w:val="BodyText"/>
    <w:qFormat/>
    <w:pPr>
      <w:keepNext w:val="true"/>
    </w:pPr>
    <w:rPr>
      <w:b/>
      <w:bCs/>
      <w:sz w:val="48"/>
      <w:szCs w:val="48"/>
    </w:rPr>
  </w:style>
  <w:style w:type="paragraph" w:styleId="Heading2">
    <w:name w:val="heading 2"/>
    <w:basedOn w:val="Heading"/>
    <w:next w:val="BodyText"/>
    <w:qFormat/>
    <w:pPr>
      <w:keepNext w:val="true"/>
      <w:spacing w:before="200" w:after="120"/>
      <w:outlineLvl w:val="1"/>
    </w:pPr>
    <w:rPr>
      <w:rFonts w:ascii="Noto Serif" w:hAnsi="Noto Serif" w:eastAsia="Noto Sans" w:cs="FreeSans"/>
      <w:b/>
      <w:bCs/>
      <w:sz w:val="36"/>
      <w:szCs w:val="36"/>
    </w:rPr>
  </w:style>
  <w:style w:type="paragraph" w:styleId="Heading3">
    <w:name w:val="heading 3"/>
    <w:basedOn w:val="Heading"/>
    <w:next w:val="BodyText"/>
    <w:qFormat/>
    <w:pPr>
      <w:keepNext w:val="true"/>
      <w:spacing w:before="140" w:after="120"/>
      <w:outlineLvl w:val="2"/>
    </w:pPr>
    <w:rPr>
      <w:rFonts w:ascii="Noto Serif" w:hAnsi="Noto Serif" w:eastAsia="Noto Sans" w:cs="FreeSans"/>
      <w:b/>
      <w:bCs/>
      <w:sz w:val="28"/>
      <w:szCs w:val="28"/>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Noto Sans Mono" w:hAnsi="Noto Sans Mono" w:eastAsia="Noto Sans Mono" w:cs="Noto Sans Mono"/>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PreformattedText">
    <w:name w:val="Preformatted Text"/>
    <w:basedOn w:val="Normal"/>
    <w:qFormat/>
    <w:pPr>
      <w:spacing w:before="0" w:after="0"/>
    </w:pPr>
    <w:rPr>
      <w:rFonts w:ascii="Noto Sans Mono" w:hAnsi="Noto Sans Mono" w:eastAsia="Noto Sans Mono" w:cs="Noto Sans Mono"/>
      <w:sz w:val="18"/>
      <w:szCs w:val="18"/>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