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Decision-discussion improvements — continued development</w:t>
      </w:r>
    </w:p>
    <w:p>
      <w:pPr>
        <w:pStyle w:val="BodyText"/>
        <w:bidi w:val="0"/>
        <w:rPr/>
      </w:pPr>
      <w:r>
        <w:rPr/>
        <w:t>The original experiment is preserved. This second experiment uses exactly the same reference labels and project-separated train/development/historical-test cohorts. No examples are removed or relabelled.</w:t>
      </w:r>
    </w:p>
    <w:tbl>
      <w:tblPr>
        <w:tblW w:w="705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69"/>
        <w:gridCol w:w="1431"/>
        <w:gridCol w:w="1068"/>
        <w:gridCol w:w="665"/>
        <w:gridCol w:w="725"/>
      </w:tblGrid>
      <w:tr>
        <w:trPr>
          <w:tblHeader w:val="true"/>
        </w:trPr>
        <w:tc>
          <w:tcPr>
            <w:tcW w:w="316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Precision %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Recall %</w:t>
            </w:r>
          </w:p>
        </w:tc>
        <w:tc>
          <w:tcPr>
            <w:tcW w:w="6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F1 %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AP %</w:t>
            </w:r>
          </w:p>
        </w:tc>
      </w:tr>
      <w:tr>
        <w:trPr/>
        <w:tc>
          <w:tcPr>
            <w:tcW w:w="31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Original three-act context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28.18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85.17</w:t>
            </w:r>
          </w:p>
        </w:tc>
        <w:tc>
          <w:tcPr>
            <w:tcW w:w="6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42.35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36.80</w:t>
            </w:r>
          </w:p>
        </w:tc>
      </w:tr>
      <w:tr>
        <w:trPr/>
        <w:tc>
          <w:tcPr>
            <w:tcW w:w="31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Dev-selected v2: context_40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34.13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90.12</w:t>
            </w:r>
          </w:p>
        </w:tc>
        <w:tc>
          <w:tcPr>
            <w:tcW w:w="6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49.51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56.99</w:t>
            </w:r>
          </w:p>
        </w:tc>
      </w:tr>
      <w:tr>
        <w:trPr/>
        <w:tc>
          <w:tcPr>
            <w:tcW w:w="31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V2 precision operating point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37.47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83.31</w:t>
            </w:r>
          </w:p>
        </w:tc>
        <w:tc>
          <w:tcPr>
            <w:tcW w:w="6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51.69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56.99</w:t>
            </w:r>
          </w:p>
        </w:tc>
      </w:tr>
    </w:tbl>
    <w:p>
      <w:pPr>
        <w:pStyle w:val="BodyText"/>
        <w:bidi w:val="0"/>
        <w:rPr/>
      </w:pPr>
      <w:r>
        <w:rPr/>
        <w:t xml:space="preserve">Primary historical-cohort F1 difference: </w:t>
      </w:r>
      <w:r>
        <w:rPr>
          <w:rStyle w:val="Strong"/>
        </w:rPr>
        <w:t>+7.16 percentage points</w:t>
      </w:r>
      <w:r>
        <w:rPr/>
        <w:t xml:space="preserve">. False positives: </w:t>
      </w:r>
      <w:r>
        <w:rPr>
          <w:rStyle w:val="Strong"/>
        </w:rPr>
        <w:t>5,384 → 4,315</w:t>
      </w:r>
      <w:r>
        <w:rPr/>
        <w:t xml:space="preserve">. Development F1: </w:t>
      </w:r>
      <w:r>
        <w:rPr>
          <w:rStyle w:val="Strong"/>
        </w:rPr>
        <w:t>49.05% → 57.04%</w:t>
      </w:r>
      <w:r>
        <w:rPr/>
        <w:t>.</w:t>
      </w:r>
    </w:p>
    <w:p>
      <w:pPr>
        <w:pStyle w:val="Heading2"/>
        <w:bidi w:val="0"/>
        <w:rPr/>
      </w:pPr>
      <w:r>
        <w:rPr/>
        <w:t>What changed</w:t>
      </w:r>
    </w:p>
    <w:p>
      <w:pPr>
        <w:pStyle w:val="BodyText"/>
        <w:bidi w:val="0"/>
        <w:rPr/>
      </w:pPr>
      <w:r>
        <w:rPr/>
        <w:t>The fixed search compares current-act word/character features with symmetric context radii of 1, 5, 15 and 40 acts. A separate radius-15 variant adds relative recording position and its square/cube. It uses no meeting identifier, participant role, dialogue-act type or reference decision label as a feature. TF-IDF is fitted on training only. The model remains class-balanced logistic regression. Each configuration selects C, a probability threshold and smoothing radius on development F1. Smoothing averages predicted probabilities over neighbouring acts, never across meetings. This requires offline access to subsequent speech.</w:t>
      </w:r>
    </w:p>
    <w:p>
      <w:pPr>
        <w:pStyle w:val="BodyText"/>
        <w:bidi w:val="0"/>
        <w:rPr/>
      </w:pPr>
      <w:r>
        <w:rPr/>
        <w:t xml:space="preserve">The primary variant is </w:t>
      </w:r>
      <w:r>
        <w:rPr>
          <w:rStyle w:val="Strong"/>
        </w:rPr>
        <w:t>context_40</w:t>
      </w:r>
      <w:r>
        <w:rPr/>
        <w:t>; C=3.0, context radius=40, smoothing radius=15, threshold=0.15. Its model and selection were saved and hashed before the separate historical evaluation invocation. A precision-oriented threshold is also frozen on development for this same model, requiring development recall of at least 50%. It is not chosen on historical-test performance.</w:t>
      </w:r>
    </w:p>
    <w:p>
      <w:pPr>
        <w:pStyle w:val="Heading2"/>
        <w:bidi w:val="0"/>
        <w:rPr/>
      </w:pPr>
      <w:r>
        <w:rPr/>
        <w:t>All dev-selected variants and smoothing ablation</w:t>
      </w:r>
    </w:p>
    <w:tbl>
      <w:tblPr>
        <w:tblW w:w="113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440"/>
        <w:gridCol w:w="1431"/>
        <w:gridCol w:w="1068"/>
        <w:gridCol w:w="665"/>
        <w:gridCol w:w="725"/>
      </w:tblGrid>
      <w:tr>
        <w:trPr>
          <w:tblHeader w:val="true"/>
        </w:trPr>
        <w:tc>
          <w:tcPr>
            <w:tcW w:w="744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Precision %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Recall %</w:t>
            </w:r>
          </w:p>
        </w:tc>
        <w:tc>
          <w:tcPr>
            <w:tcW w:w="6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F1 %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AP %</w:t>
            </w:r>
          </w:p>
        </w:tc>
      </w:tr>
      <w:tr>
        <w:trPr/>
        <w:tc>
          <w:tcPr>
            <w:tcW w:w="74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local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34.03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91.37</w:t>
            </w:r>
          </w:p>
        </w:tc>
        <w:tc>
          <w:tcPr>
            <w:tcW w:w="6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49.59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51.89</w:t>
            </w:r>
          </w:p>
        </w:tc>
      </w:tr>
      <w:tr>
        <w:trPr/>
        <w:tc>
          <w:tcPr>
            <w:tcW w:w="74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context_1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35.73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87.46</w:t>
            </w:r>
          </w:p>
        </w:tc>
        <w:tc>
          <w:tcPr>
            <w:tcW w:w="6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50.74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54.99</w:t>
            </w:r>
          </w:p>
        </w:tc>
      </w:tr>
      <w:tr>
        <w:trPr/>
        <w:tc>
          <w:tcPr>
            <w:tcW w:w="74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context_5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30.91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94.76</w:t>
            </w:r>
          </w:p>
        </w:tc>
        <w:tc>
          <w:tcPr>
            <w:tcW w:w="6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46.61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56.75</w:t>
            </w:r>
          </w:p>
        </w:tc>
      </w:tr>
      <w:tr>
        <w:trPr/>
        <w:tc>
          <w:tcPr>
            <w:tcW w:w="74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context_15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29.56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94.44</w:t>
            </w:r>
          </w:p>
        </w:tc>
        <w:tc>
          <w:tcPr>
            <w:tcW w:w="6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45.02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54.09</w:t>
            </w:r>
          </w:p>
        </w:tc>
      </w:tr>
      <w:tr>
        <w:trPr/>
        <w:tc>
          <w:tcPr>
            <w:tcW w:w="74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context_40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34.13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90.12</w:t>
            </w:r>
          </w:p>
        </w:tc>
        <w:tc>
          <w:tcPr>
            <w:tcW w:w="6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49.51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56.99</w:t>
            </w:r>
          </w:p>
        </w:tc>
      </w:tr>
      <w:tr>
        <w:trPr/>
        <w:tc>
          <w:tcPr>
            <w:tcW w:w="74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context_15_position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29.62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95.97</w:t>
            </w:r>
          </w:p>
        </w:tc>
        <w:tc>
          <w:tcPr>
            <w:tcW w:w="6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45.27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57.12</w:t>
            </w:r>
          </w:p>
        </w:tc>
      </w:tr>
      <w:tr>
        <w:trPr/>
        <w:tc>
          <w:tcPr>
            <w:tcW w:w="74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context_40 without smoothing (same classifier; dev-tuned threshold)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35.38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85.41</w:t>
            </w:r>
          </w:p>
        </w:tc>
        <w:tc>
          <w:tcPr>
            <w:tcW w:w="6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50.04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51.88</w:t>
            </w:r>
          </w:p>
        </w:tc>
      </w:tr>
    </w:tbl>
    <w:p>
      <w:pPr>
        <w:pStyle w:val="BodyText"/>
        <w:bidi w:val="0"/>
        <w:rPr/>
      </w:pPr>
      <w:r>
        <w:rPr/>
        <w:t xml:space="preserve">Each feature variant is independently selected on development. The no-smoothing row holds the primary fitted classifier fixed and reselects only its threshold on development; the same raw classifier probabilities are used. The full grid is retained in </w:t>
      </w:r>
      <w:r>
        <w:rPr>
          <w:rStyle w:val="SourceText"/>
        </w:rPr>
        <w:t>evaluation/decision_discussion_v2/dev_search.csv</w:t>
      </w:r>
      <w:r>
        <w:rPr/>
        <w:t>. This is not an exhaustive factorial study: the position feature is tested only at context radius 15.</w:t>
      </w:r>
    </w:p>
    <w:p>
      <w:pPr>
        <w:pStyle w:val="BodyText"/>
        <w:bidi w:val="0"/>
        <w:rPr/>
      </w:pPr>
      <w:r>
        <w:rPr/>
        <w:t>Smoothing does not improve the primary classifier's historical F1 (50.04% without smoothing versus 49.51% with it). The primary selection remains frozen even though another configuration scores better on historical data. Neither the smoothing hypothesis nor the largest context window is consistently superior across cohorts.</w:t>
      </w:r>
    </w:p>
    <w:p>
      <w:pPr>
        <w:pStyle w:val="BodyText"/>
        <w:keepLines/>
        <w:bidi w:val="0"/>
        <w:ind w:hanging="0" w:start="0" w:end="0"/>
        <w:rPr/>
      </w:pPr>
      <w:r>
        <w:rPr/>
        <w:drawing>
          <wp:inline distT="0" distB="0" distL="0" distR="0">
            <wp:extent cx="5715000" cy="2857500"/>
            <wp:effectExtent l="0" t="0" r="0" b="0"/>
            <wp:docPr id="1" name="Image1" title="Continued-development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Continued-development compariso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Fig. 1. Original versus dev-selected tagging.</w:t>
      </w:r>
    </w:p>
    <w:p>
      <w:pPr>
        <w:pStyle w:val="Heading2"/>
        <w:bidi w:val="0"/>
        <w:rPr/>
      </w:pPr>
      <w:r>
        <w:rPr/>
        <w:t>Per-series results for the primary model</w:t>
      </w:r>
    </w:p>
    <w:tbl>
      <w:tblPr>
        <w:tblW w:w="586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86"/>
        <w:gridCol w:w="1431"/>
        <w:gridCol w:w="1068"/>
        <w:gridCol w:w="665"/>
        <w:gridCol w:w="1813"/>
      </w:tblGrid>
      <w:tr>
        <w:trPr>
          <w:tblHeader w:val="true"/>
        </w:trPr>
        <w:tc>
          <w:tcPr>
            <w:tcW w:w="8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Series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Precision %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Recall %</w:t>
            </w:r>
          </w:p>
        </w:tc>
        <w:tc>
          <w:tcPr>
            <w:tcW w:w="6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F1 %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False positives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ES2016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28.38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97.62</w:t>
            </w:r>
          </w:p>
        </w:tc>
        <w:tc>
          <w:tcPr>
            <w:tcW w:w="6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43.98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1244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IS1006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22.84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73.26</w:t>
            </w:r>
          </w:p>
        </w:tc>
        <w:tc>
          <w:tcPr>
            <w:tcW w:w="6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34.82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1527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TS3005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45.54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95.00</w:t>
            </w:r>
          </w:p>
        </w:tc>
        <w:tc>
          <w:tcPr>
            <w:tcW w:w="6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61.56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1544</w:t>
            </w:r>
          </w:p>
        </w:tc>
      </w:tr>
    </w:tbl>
    <w:p>
      <w:pPr>
        <w:pStyle w:val="Heading2"/>
        <w:bidi w:val="0"/>
        <w:rPr/>
      </w:pPr>
      <w:r>
        <w:rPr/>
        <w:t>Evidence limits</w:t>
      </w:r>
    </w:p>
    <w:p>
      <w:pPr>
        <w:pStyle w:val="BodyText"/>
        <w:bidi w:val="0"/>
        <w:rPr/>
      </w:pPr>
      <w:r>
        <w:rPr/>
        <w:t>The old test cohort had already been examined before this work. The development search is separated from this round's historical scoring, but that does not make this a new confirmatory test. No final model is selected using historical-test scores. Only three independent test series and two development series exist. The paired project-series bootstrap F1-difference interval is -1.47 to +14.38 percentage points; it is descriptive, not evidence of population significance. Variation across series remains material.</w:t>
      </w:r>
    </w:p>
    <w:p>
      <w:pPr>
        <w:pStyle w:val="BodyText"/>
        <w:bidi w:val="0"/>
        <w:rPr/>
      </w:pPr>
      <w:r>
        <w:rPr/>
        <w:t>Inputs are human reference transcripts and dialogue-act boundaries. These scores do not establish final-decision extraction, ASR accuracy, speaker attribution, influence ranking, Hindi/Hinglish performance or application accuracy. Outside-span negatives retain the original annotation-completeness assumption. Larger context and smoothing can blur short discussion boundaries. The position-feature variant may rely on scenario-specific meeting structure. Independent full-recording annotation and end-to-end evaluation remain necessary before installation in the application.</w:t>
      </w:r>
    </w:p>
    <w:p>
      <w:pPr>
        <w:pStyle w:val="Heading2"/>
        <w:bidi w:val="0"/>
        <w:rPr/>
      </w:pPr>
      <w:r>
        <w:rPr/>
        <w:t>Reproduce</w:t>
      </w:r>
    </w:p>
    <w:p>
      <w:pPr>
        <w:pStyle w:val="BodyText"/>
        <w:bidi w:val="0"/>
        <w:rPr/>
      </w:pPr>
      <w:r>
        <w:rPr/>
        <w:t>From the project root, after preparing the original pilot's cached rows:</w:t>
      </w:r>
    </w:p>
    <w:p>
      <w:pPr>
        <w:pStyle w:val="PreformattedText"/>
        <w:bidi w:val="0"/>
        <w:rPr/>
      </w:pPr>
      <w:r>
        <w:rPr>
          <w:rStyle w:val="SourceText"/>
        </w:rPr>
        <w:t>OPENBLAS_NUM_THREADS=2 OMP_NUM_THREADS=2 .venv/bin/python scripts/improve_decision_discussions.py</w:t>
      </w:r>
    </w:p>
    <w:p>
      <w:pPr>
        <w:pStyle w:val="PreformattedText"/>
        <w:bidi w:val="0"/>
        <w:rPr/>
      </w:pPr>
      <w:r>
        <w:rPr>
          <w:rStyle w:val="SourceText"/>
        </w:rPr>
        <w:t>OPENBLAS_NUM_THREADS=2 OMP_NUM_THREADS=2 .venv/bin/python scripts/improve_decision_discussions.py --evaluate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.venv/bin/python scripts/report_discussion_improvements.py</w:t>
      </w:r>
    </w:p>
    <w:p>
      <w:pPr>
        <w:pStyle w:val="BodyText"/>
        <w:bidi w:val="0"/>
        <w:spacing w:before="0" w:after="283"/>
        <w:rPr/>
      </w:pPr>
      <w:r>
        <w:rPr/>
        <w:t xml:space="preserve">The full protocol, development search, frozen selection, hashes, comparison CSV, per-meeting/group scores and paired bootstrap are in </w:t>
      </w:r>
      <w:r>
        <w:rPr>
          <w:rStyle w:val="SourceText"/>
        </w:rPr>
        <w:t>evaluation/decision_discussion_v2/</w:t>
      </w:r>
      <w:r>
        <w:rPr/>
        <w:t xml:space="preserve">. Trained models and row-level predictions are in </w:t>
      </w:r>
      <w:r>
        <w:rPr>
          <w:rStyle w:val="SourceText"/>
        </w:rPr>
        <w:t>.runtime/research-decision-model-v2/</w:t>
      </w:r>
      <w:r>
        <w:rPr/>
        <w:t>. Training/vectorisation/selection took 57.4 seconds in this run; this is not an inference or end-to-end recording latency benchmark. There were no new dependencies, model downloads, cloud inference or changes to production event extraction.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Noto Sans Mono"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beration Serif" w:cs="Liberation 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</w:pPr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spacing w:before="200" w:after="120"/>
      <w:outlineLvl w:val="1"/>
    </w:pPr>
    <w:rPr>
      <w:rFonts w:ascii="Noto Serif" w:hAnsi="Noto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keepNext w:val="true"/>
      <w:spacing w:before="140" w:after="120"/>
      <w:outlineLvl w:val="2"/>
    </w:pPr>
    <w:rPr>
      <w:rFonts w:ascii="Noto Serif" w:hAnsi="Noto Serif" w:eastAsia="Noto Sans" w:cs="FreeSan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Noto Sans Mono" w:hAnsi="Noto Sans Mono" w:eastAsia="Noto Sans Mono" w:cs="Noto Sans Mono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Noto Sans Mono" w:hAnsi="Noto Sans Mono" w:eastAsia="Noto Sans Mono" w:cs="Noto Sans Mono"/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