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Pipeline improvement: learned discussion review</w:t>
      </w:r>
    </w:p>
    <w:p>
      <w:pPr>
        <w:pStyle w:val="BodyText"/>
        <w:bidi w:val="0"/>
        <w:rPr/>
      </w:pPr>
      <w:r>
        <w:rPr/>
        <w:t>The app now includes a local learned discussion-review stage in addition to its event and final-decision rules. This closes the previous gap between the research classifiers and the running pipeline. The learned stage suggests source passages to inspect; it does not convert discussion membership into confirmed decisions or alter influence weights.</w:t>
      </w:r>
    </w:p>
    <w:p>
      <w:pPr>
        <w:pStyle w:val="Heading2"/>
        <w:bidi w:val="0"/>
        <w:rPr/>
      </w:pPr>
      <w:r>
        <w:rPr/>
        <w:t>Measured comparison</w:t>
      </w:r>
    </w:p>
    <w:tbl>
      <w:tblPr>
        <w:tblW w:w="7786" w:type="dxa"/>
        <w:jc w:val="start"/>
        <w:tblInd w:w="0" w:type="dxa"/>
        <w:tblLayout w:type="fixed"/>
        <w:tblCellMar>
          <w:top w:w="28" w:type="dxa"/>
          <w:start w:w="28" w:type="dxa"/>
          <w:bottom w:w="28" w:type="dxa"/>
          <w:end w:w="28" w:type="dxa"/>
        </w:tblCellMar>
      </w:tblPr>
      <w:tblGrid>
        <w:gridCol w:w="3897"/>
        <w:gridCol w:w="1431"/>
        <w:gridCol w:w="1068"/>
        <w:gridCol w:w="665"/>
        <w:gridCol w:w="725"/>
      </w:tblGrid>
      <w:tr>
        <w:trPr>
          <w:tblHeader w:val="true"/>
        </w:trPr>
        <w:tc>
          <w:tcPr>
            <w:tcW w:w="3897" w:type="dxa"/>
            <w:tcBorders/>
            <w:vAlign w:val="center"/>
          </w:tcPr>
          <w:p>
            <w:pPr>
              <w:pStyle w:val="TableHeading"/>
              <w:suppressLineNumbers/>
              <w:bidi w:val="0"/>
              <w:spacing w:before="0" w:after="283"/>
              <w:jc w:val="center"/>
              <w:rPr/>
            </w:pPr>
            <w:r>
              <w:rPr/>
              <w:t>Method</w:t>
            </w:r>
          </w:p>
        </w:tc>
        <w:tc>
          <w:tcPr>
            <w:tcW w:w="1431" w:type="dxa"/>
            <w:tcBorders/>
            <w:vAlign w:val="center"/>
          </w:tcPr>
          <w:p>
            <w:pPr>
              <w:pStyle w:val="TableHeading"/>
              <w:suppressLineNumbers/>
              <w:bidi w:val="0"/>
              <w:spacing w:before="0" w:after="283"/>
              <w:jc w:val="center"/>
              <w:rPr/>
            </w:pPr>
            <w:r>
              <w:rPr/>
              <w:t>Precision %</w:t>
            </w:r>
          </w:p>
        </w:tc>
        <w:tc>
          <w:tcPr>
            <w:tcW w:w="1068" w:type="dxa"/>
            <w:tcBorders/>
            <w:vAlign w:val="center"/>
          </w:tcPr>
          <w:p>
            <w:pPr>
              <w:pStyle w:val="TableHeading"/>
              <w:suppressLineNumbers/>
              <w:bidi w:val="0"/>
              <w:spacing w:before="0" w:after="283"/>
              <w:jc w:val="center"/>
              <w:rPr/>
            </w:pPr>
            <w:r>
              <w:rPr/>
              <w:t>Recall %</w:t>
            </w:r>
          </w:p>
        </w:tc>
        <w:tc>
          <w:tcPr>
            <w:tcW w:w="665" w:type="dxa"/>
            <w:tcBorders/>
            <w:vAlign w:val="center"/>
          </w:tcPr>
          <w:p>
            <w:pPr>
              <w:pStyle w:val="TableHeading"/>
              <w:suppressLineNumbers/>
              <w:bidi w:val="0"/>
              <w:spacing w:before="0" w:after="283"/>
              <w:jc w:val="center"/>
              <w:rPr/>
            </w:pPr>
            <w:r>
              <w:rPr/>
              <w:t>F1 %</w:t>
            </w:r>
          </w:p>
        </w:tc>
        <w:tc>
          <w:tcPr>
            <w:tcW w:w="725" w:type="dxa"/>
            <w:tcBorders/>
            <w:vAlign w:val="center"/>
          </w:tcPr>
          <w:p>
            <w:pPr>
              <w:pStyle w:val="TableHeading"/>
              <w:suppressLineNumbers/>
              <w:bidi w:val="0"/>
              <w:spacing w:before="0" w:after="283"/>
              <w:jc w:val="center"/>
              <w:rPr/>
            </w:pPr>
            <w:r>
              <w:rPr/>
              <w:t>AP %</w:t>
            </w:r>
          </w:p>
        </w:tc>
      </w:tr>
      <w:tr>
        <w:trPr/>
        <w:tc>
          <w:tcPr>
            <w:tcW w:w="3897" w:type="dxa"/>
            <w:tcBorders/>
            <w:vAlign w:val="center"/>
          </w:tcPr>
          <w:p>
            <w:pPr>
              <w:pStyle w:val="TableContents"/>
              <w:bidi w:val="0"/>
              <w:spacing w:before="0" w:after="283"/>
              <w:rPr/>
            </w:pPr>
            <w:r>
              <w:rPr/>
              <w:t>Earlier v2 context model</w:t>
            </w:r>
          </w:p>
        </w:tc>
        <w:tc>
          <w:tcPr>
            <w:tcW w:w="1431" w:type="dxa"/>
            <w:tcBorders/>
            <w:vAlign w:val="center"/>
          </w:tcPr>
          <w:p>
            <w:pPr>
              <w:pStyle w:val="TableContents"/>
              <w:bidi w:val="0"/>
              <w:spacing w:before="0" w:after="283"/>
              <w:rPr/>
            </w:pPr>
            <w:r>
              <w:rPr/>
              <w:t>34.13</w:t>
            </w:r>
          </w:p>
        </w:tc>
        <w:tc>
          <w:tcPr>
            <w:tcW w:w="1068" w:type="dxa"/>
            <w:tcBorders/>
            <w:vAlign w:val="center"/>
          </w:tcPr>
          <w:p>
            <w:pPr>
              <w:pStyle w:val="TableContents"/>
              <w:bidi w:val="0"/>
              <w:spacing w:before="0" w:after="283"/>
              <w:rPr/>
            </w:pPr>
            <w:r>
              <w:rPr/>
              <w:t>90.12</w:t>
            </w:r>
          </w:p>
        </w:tc>
        <w:tc>
          <w:tcPr>
            <w:tcW w:w="665" w:type="dxa"/>
            <w:tcBorders/>
            <w:vAlign w:val="center"/>
          </w:tcPr>
          <w:p>
            <w:pPr>
              <w:pStyle w:val="TableContents"/>
              <w:bidi w:val="0"/>
              <w:spacing w:before="0" w:after="283"/>
              <w:rPr/>
            </w:pPr>
            <w:r>
              <w:rPr/>
              <w:t>49.51</w:t>
            </w:r>
          </w:p>
        </w:tc>
        <w:tc>
          <w:tcPr>
            <w:tcW w:w="725" w:type="dxa"/>
            <w:tcBorders/>
            <w:vAlign w:val="center"/>
          </w:tcPr>
          <w:p>
            <w:pPr>
              <w:pStyle w:val="TableContents"/>
              <w:bidi w:val="0"/>
              <w:spacing w:before="0" w:after="283"/>
              <w:rPr/>
            </w:pPr>
            <w:r>
              <w:rPr/>
              <w:t>56.99</w:t>
            </w:r>
          </w:p>
        </w:tc>
      </w:tr>
      <w:tr>
        <w:trPr/>
        <w:tc>
          <w:tcPr>
            <w:tcW w:w="3897" w:type="dxa"/>
            <w:tcBorders/>
            <w:vAlign w:val="center"/>
          </w:tcPr>
          <w:p>
            <w:pPr>
              <w:pStyle w:val="TableContents"/>
              <w:bidi w:val="0"/>
              <w:spacing w:before="0" w:after="283"/>
              <w:rPr/>
            </w:pPr>
            <w:r>
              <w:rPr/>
              <w:t>Matched context logistic regression</w:t>
            </w:r>
          </w:p>
        </w:tc>
        <w:tc>
          <w:tcPr>
            <w:tcW w:w="1431" w:type="dxa"/>
            <w:tcBorders/>
            <w:vAlign w:val="center"/>
          </w:tcPr>
          <w:p>
            <w:pPr>
              <w:pStyle w:val="TableContents"/>
              <w:bidi w:val="0"/>
              <w:spacing w:before="0" w:after="283"/>
              <w:rPr/>
            </w:pPr>
            <w:r>
              <w:rPr/>
              <w:t>35.61</w:t>
            </w:r>
          </w:p>
        </w:tc>
        <w:tc>
          <w:tcPr>
            <w:tcW w:w="1068" w:type="dxa"/>
            <w:tcBorders/>
            <w:vAlign w:val="center"/>
          </w:tcPr>
          <w:p>
            <w:pPr>
              <w:pStyle w:val="TableContents"/>
              <w:bidi w:val="0"/>
              <w:spacing w:before="0" w:after="283"/>
              <w:rPr/>
            </w:pPr>
            <w:r>
              <w:rPr/>
              <w:t>87.38</w:t>
            </w:r>
          </w:p>
        </w:tc>
        <w:tc>
          <w:tcPr>
            <w:tcW w:w="665" w:type="dxa"/>
            <w:tcBorders/>
            <w:vAlign w:val="center"/>
          </w:tcPr>
          <w:p>
            <w:pPr>
              <w:pStyle w:val="TableContents"/>
              <w:bidi w:val="0"/>
              <w:spacing w:before="0" w:after="283"/>
              <w:rPr/>
            </w:pPr>
            <w:r>
              <w:rPr/>
              <w:t>50.60</w:t>
            </w:r>
          </w:p>
        </w:tc>
        <w:tc>
          <w:tcPr>
            <w:tcW w:w="725" w:type="dxa"/>
            <w:tcBorders/>
            <w:vAlign w:val="center"/>
          </w:tcPr>
          <w:p>
            <w:pPr>
              <w:pStyle w:val="TableContents"/>
              <w:bidi w:val="0"/>
              <w:spacing w:before="0" w:after="283"/>
              <w:rPr/>
            </w:pPr>
            <w:r>
              <w:rPr/>
              <w:t>56.99</w:t>
            </w:r>
          </w:p>
        </w:tc>
      </w:tr>
      <w:tr>
        <w:trPr/>
        <w:tc>
          <w:tcPr>
            <w:tcW w:w="3897" w:type="dxa"/>
            <w:tcBorders/>
            <w:vAlign w:val="center"/>
          </w:tcPr>
          <w:p>
            <w:pPr>
              <w:pStyle w:val="TableContents"/>
              <w:bidi w:val="0"/>
              <w:spacing w:before="0" w:after="283"/>
              <w:rPr/>
            </w:pPr>
            <w:r>
              <w:rPr/>
              <w:t>Matched context random forest</w:t>
            </w:r>
          </w:p>
        </w:tc>
        <w:tc>
          <w:tcPr>
            <w:tcW w:w="1431" w:type="dxa"/>
            <w:tcBorders/>
            <w:vAlign w:val="center"/>
          </w:tcPr>
          <w:p>
            <w:pPr>
              <w:pStyle w:val="TableContents"/>
              <w:bidi w:val="0"/>
              <w:spacing w:before="0" w:after="283"/>
              <w:rPr/>
            </w:pPr>
            <w:r>
              <w:rPr/>
              <w:t>39.38</w:t>
            </w:r>
          </w:p>
        </w:tc>
        <w:tc>
          <w:tcPr>
            <w:tcW w:w="1068" w:type="dxa"/>
            <w:tcBorders/>
            <w:vAlign w:val="center"/>
          </w:tcPr>
          <w:p>
            <w:pPr>
              <w:pStyle w:val="TableContents"/>
              <w:bidi w:val="0"/>
              <w:spacing w:before="0" w:after="283"/>
              <w:rPr/>
            </w:pPr>
            <w:r>
              <w:rPr/>
              <w:t>76.86</w:t>
            </w:r>
          </w:p>
        </w:tc>
        <w:tc>
          <w:tcPr>
            <w:tcW w:w="665" w:type="dxa"/>
            <w:tcBorders/>
            <w:vAlign w:val="center"/>
          </w:tcPr>
          <w:p>
            <w:pPr>
              <w:pStyle w:val="TableContents"/>
              <w:bidi w:val="0"/>
              <w:spacing w:before="0" w:after="283"/>
              <w:rPr/>
            </w:pPr>
            <w:r>
              <w:rPr/>
              <w:t>52.08</w:t>
            </w:r>
          </w:p>
        </w:tc>
        <w:tc>
          <w:tcPr>
            <w:tcW w:w="725" w:type="dxa"/>
            <w:tcBorders/>
            <w:vAlign w:val="center"/>
          </w:tcPr>
          <w:p>
            <w:pPr>
              <w:pStyle w:val="TableContents"/>
              <w:bidi w:val="0"/>
              <w:spacing w:before="0" w:after="283"/>
              <w:rPr/>
            </w:pPr>
            <w:r>
              <w:rPr/>
              <w:t>41.95</w:t>
            </w:r>
          </w:p>
        </w:tc>
      </w:tr>
      <w:tr>
        <w:trPr/>
        <w:tc>
          <w:tcPr>
            <w:tcW w:w="3897" w:type="dxa"/>
            <w:tcBorders/>
            <w:vAlign w:val="center"/>
          </w:tcPr>
          <w:p>
            <w:pPr>
              <w:pStyle w:val="TableContents"/>
              <w:bidi w:val="0"/>
              <w:spacing w:before="0" w:after="283"/>
              <w:rPr/>
            </w:pPr>
            <w:r>
              <w:rPr/>
              <w:t>New discussion-review pipeline</w:t>
            </w:r>
          </w:p>
        </w:tc>
        <w:tc>
          <w:tcPr>
            <w:tcW w:w="1431" w:type="dxa"/>
            <w:tcBorders/>
            <w:vAlign w:val="center"/>
          </w:tcPr>
          <w:p>
            <w:pPr>
              <w:pStyle w:val="TableContents"/>
              <w:bidi w:val="0"/>
              <w:spacing w:before="0" w:after="283"/>
              <w:rPr/>
            </w:pPr>
            <w:r>
              <w:rPr/>
              <w:t>39.94</w:t>
            </w:r>
          </w:p>
        </w:tc>
        <w:tc>
          <w:tcPr>
            <w:tcW w:w="1068" w:type="dxa"/>
            <w:tcBorders/>
            <w:vAlign w:val="center"/>
          </w:tcPr>
          <w:p>
            <w:pPr>
              <w:pStyle w:val="TableContents"/>
              <w:bidi w:val="0"/>
              <w:spacing w:before="0" w:after="283"/>
              <w:rPr/>
            </w:pPr>
            <w:r>
              <w:rPr/>
              <w:t>81.18</w:t>
            </w:r>
          </w:p>
        </w:tc>
        <w:tc>
          <w:tcPr>
            <w:tcW w:w="665" w:type="dxa"/>
            <w:tcBorders/>
            <w:vAlign w:val="center"/>
          </w:tcPr>
          <w:p>
            <w:pPr>
              <w:pStyle w:val="TableContents"/>
              <w:bidi w:val="0"/>
              <w:spacing w:before="0" w:after="283"/>
              <w:rPr/>
            </w:pPr>
            <w:r>
              <w:rPr/>
              <w:t>53.54</w:t>
            </w:r>
          </w:p>
        </w:tc>
        <w:tc>
          <w:tcPr>
            <w:tcW w:w="725" w:type="dxa"/>
            <w:tcBorders/>
            <w:vAlign w:val="center"/>
          </w:tcPr>
          <w:p>
            <w:pPr>
              <w:pStyle w:val="TableContents"/>
              <w:bidi w:val="0"/>
              <w:spacing w:before="0" w:after="283"/>
              <w:rPr/>
            </w:pPr>
            <w:r>
              <w:rPr/>
              <w:t>53.40</w:t>
            </w:r>
          </w:p>
        </w:tc>
      </w:tr>
    </w:tbl>
    <w:p>
      <w:pPr>
        <w:pStyle w:val="BodyText"/>
        <w:bidi w:val="0"/>
        <w:rPr/>
      </w:pPr>
      <w:r>
        <w:rPr/>
        <w:t>All rows use the same 11,136 reference acts and 2,481 positives from the historical AMI cohort. This table measures discussion membership with oracle text and act boundaries. It is not end-to-end audio accuracy. The dev-selected mixture combines 75% forest with 25% linear scores, then smooths within ±5 acts and applies threshold 0.357740. It scores 59.79% development F1.</w:t>
      </w:r>
    </w:p>
    <w:p>
      <w:pPr>
        <w:pStyle w:val="Heading2"/>
        <w:bidi w:val="0"/>
        <w:rPr/>
      </w:pPr>
      <w:r>
        <w:rPr/>
        <w:t>All prespecified mixtures</w:t>
      </w:r>
    </w:p>
    <w:tbl>
      <w:tblPr>
        <w:tblW w:w="5998" w:type="dxa"/>
        <w:jc w:val="start"/>
        <w:tblInd w:w="0" w:type="dxa"/>
        <w:tblLayout w:type="fixed"/>
        <w:tblCellMar>
          <w:top w:w="28" w:type="dxa"/>
          <w:start w:w="28" w:type="dxa"/>
          <w:bottom w:w="28" w:type="dxa"/>
          <w:end w:w="28" w:type="dxa"/>
        </w:tblCellMar>
      </w:tblPr>
      <w:tblGrid>
        <w:gridCol w:w="2109"/>
        <w:gridCol w:w="1431"/>
        <w:gridCol w:w="1068"/>
        <w:gridCol w:w="665"/>
        <w:gridCol w:w="725"/>
      </w:tblGrid>
      <w:tr>
        <w:trPr>
          <w:tblHeader w:val="true"/>
        </w:trPr>
        <w:tc>
          <w:tcPr>
            <w:tcW w:w="2109" w:type="dxa"/>
            <w:tcBorders/>
            <w:vAlign w:val="center"/>
          </w:tcPr>
          <w:p>
            <w:pPr>
              <w:pStyle w:val="TableHeading"/>
              <w:suppressLineNumbers/>
              <w:bidi w:val="0"/>
              <w:spacing w:before="0" w:after="283"/>
              <w:jc w:val="center"/>
              <w:rPr/>
            </w:pPr>
            <w:r>
              <w:rPr/>
              <w:t>Method</w:t>
            </w:r>
          </w:p>
        </w:tc>
        <w:tc>
          <w:tcPr>
            <w:tcW w:w="1431" w:type="dxa"/>
            <w:tcBorders/>
            <w:vAlign w:val="center"/>
          </w:tcPr>
          <w:p>
            <w:pPr>
              <w:pStyle w:val="TableHeading"/>
              <w:suppressLineNumbers/>
              <w:bidi w:val="0"/>
              <w:spacing w:before="0" w:after="283"/>
              <w:jc w:val="center"/>
              <w:rPr/>
            </w:pPr>
            <w:r>
              <w:rPr/>
              <w:t>Precision %</w:t>
            </w:r>
          </w:p>
        </w:tc>
        <w:tc>
          <w:tcPr>
            <w:tcW w:w="1068" w:type="dxa"/>
            <w:tcBorders/>
            <w:vAlign w:val="center"/>
          </w:tcPr>
          <w:p>
            <w:pPr>
              <w:pStyle w:val="TableHeading"/>
              <w:suppressLineNumbers/>
              <w:bidi w:val="0"/>
              <w:spacing w:before="0" w:after="283"/>
              <w:jc w:val="center"/>
              <w:rPr/>
            </w:pPr>
            <w:r>
              <w:rPr/>
              <w:t>Recall %</w:t>
            </w:r>
          </w:p>
        </w:tc>
        <w:tc>
          <w:tcPr>
            <w:tcW w:w="665" w:type="dxa"/>
            <w:tcBorders/>
            <w:vAlign w:val="center"/>
          </w:tcPr>
          <w:p>
            <w:pPr>
              <w:pStyle w:val="TableHeading"/>
              <w:suppressLineNumbers/>
              <w:bidi w:val="0"/>
              <w:spacing w:before="0" w:after="283"/>
              <w:jc w:val="center"/>
              <w:rPr/>
            </w:pPr>
            <w:r>
              <w:rPr/>
              <w:t>F1 %</w:t>
            </w:r>
          </w:p>
        </w:tc>
        <w:tc>
          <w:tcPr>
            <w:tcW w:w="725" w:type="dxa"/>
            <w:tcBorders/>
            <w:vAlign w:val="center"/>
          </w:tcPr>
          <w:p>
            <w:pPr>
              <w:pStyle w:val="TableHeading"/>
              <w:suppressLineNumbers/>
              <w:bidi w:val="0"/>
              <w:spacing w:before="0" w:after="283"/>
              <w:jc w:val="center"/>
              <w:rPr/>
            </w:pPr>
            <w:r>
              <w:rPr/>
              <w:t>AP %</w:t>
            </w:r>
          </w:p>
        </w:tc>
      </w:tr>
      <w:tr>
        <w:trPr/>
        <w:tc>
          <w:tcPr>
            <w:tcW w:w="2109" w:type="dxa"/>
            <w:tcBorders/>
            <w:vAlign w:val="center"/>
          </w:tcPr>
          <w:p>
            <w:pPr>
              <w:pStyle w:val="TableContents"/>
              <w:bidi w:val="0"/>
              <w:spacing w:before="0" w:after="283"/>
              <w:rPr/>
            </w:pPr>
            <w:r>
              <w:rPr/>
              <w:t>Linear weight 0.00</w:t>
            </w:r>
          </w:p>
        </w:tc>
        <w:tc>
          <w:tcPr>
            <w:tcW w:w="1431" w:type="dxa"/>
            <w:tcBorders/>
            <w:vAlign w:val="center"/>
          </w:tcPr>
          <w:p>
            <w:pPr>
              <w:pStyle w:val="TableContents"/>
              <w:bidi w:val="0"/>
              <w:spacing w:before="0" w:after="283"/>
              <w:rPr/>
            </w:pPr>
            <w:r>
              <w:rPr/>
              <w:t>39.38</w:t>
            </w:r>
          </w:p>
        </w:tc>
        <w:tc>
          <w:tcPr>
            <w:tcW w:w="1068" w:type="dxa"/>
            <w:tcBorders/>
            <w:vAlign w:val="center"/>
          </w:tcPr>
          <w:p>
            <w:pPr>
              <w:pStyle w:val="TableContents"/>
              <w:bidi w:val="0"/>
              <w:spacing w:before="0" w:after="283"/>
              <w:rPr/>
            </w:pPr>
            <w:r>
              <w:rPr/>
              <w:t>76.86</w:t>
            </w:r>
          </w:p>
        </w:tc>
        <w:tc>
          <w:tcPr>
            <w:tcW w:w="665" w:type="dxa"/>
            <w:tcBorders/>
            <w:vAlign w:val="center"/>
          </w:tcPr>
          <w:p>
            <w:pPr>
              <w:pStyle w:val="TableContents"/>
              <w:bidi w:val="0"/>
              <w:spacing w:before="0" w:after="283"/>
              <w:rPr/>
            </w:pPr>
            <w:r>
              <w:rPr/>
              <w:t>52.08</w:t>
            </w:r>
          </w:p>
        </w:tc>
        <w:tc>
          <w:tcPr>
            <w:tcW w:w="725" w:type="dxa"/>
            <w:tcBorders/>
            <w:vAlign w:val="center"/>
          </w:tcPr>
          <w:p>
            <w:pPr>
              <w:pStyle w:val="TableContents"/>
              <w:bidi w:val="0"/>
              <w:spacing w:before="0" w:after="283"/>
              <w:rPr/>
            </w:pPr>
            <w:r>
              <w:rPr/>
              <w:t>41.95</w:t>
            </w:r>
          </w:p>
        </w:tc>
      </w:tr>
      <w:tr>
        <w:trPr/>
        <w:tc>
          <w:tcPr>
            <w:tcW w:w="2109" w:type="dxa"/>
            <w:tcBorders/>
            <w:vAlign w:val="center"/>
          </w:tcPr>
          <w:p>
            <w:pPr>
              <w:pStyle w:val="TableContents"/>
              <w:bidi w:val="0"/>
              <w:spacing w:before="0" w:after="283"/>
              <w:rPr/>
            </w:pPr>
            <w:r>
              <w:rPr/>
              <w:t>Linear weight 0.25</w:t>
            </w:r>
          </w:p>
        </w:tc>
        <w:tc>
          <w:tcPr>
            <w:tcW w:w="1431" w:type="dxa"/>
            <w:tcBorders/>
            <w:vAlign w:val="center"/>
          </w:tcPr>
          <w:p>
            <w:pPr>
              <w:pStyle w:val="TableContents"/>
              <w:bidi w:val="0"/>
              <w:spacing w:before="0" w:after="283"/>
              <w:rPr/>
            </w:pPr>
            <w:r>
              <w:rPr/>
              <w:t>39.94</w:t>
            </w:r>
          </w:p>
        </w:tc>
        <w:tc>
          <w:tcPr>
            <w:tcW w:w="1068" w:type="dxa"/>
            <w:tcBorders/>
            <w:vAlign w:val="center"/>
          </w:tcPr>
          <w:p>
            <w:pPr>
              <w:pStyle w:val="TableContents"/>
              <w:bidi w:val="0"/>
              <w:spacing w:before="0" w:after="283"/>
              <w:rPr/>
            </w:pPr>
            <w:r>
              <w:rPr/>
              <w:t>81.18</w:t>
            </w:r>
          </w:p>
        </w:tc>
        <w:tc>
          <w:tcPr>
            <w:tcW w:w="665" w:type="dxa"/>
            <w:tcBorders/>
            <w:vAlign w:val="center"/>
          </w:tcPr>
          <w:p>
            <w:pPr>
              <w:pStyle w:val="TableContents"/>
              <w:bidi w:val="0"/>
              <w:spacing w:before="0" w:after="283"/>
              <w:rPr/>
            </w:pPr>
            <w:r>
              <w:rPr/>
              <w:t>53.54</w:t>
            </w:r>
          </w:p>
        </w:tc>
        <w:tc>
          <w:tcPr>
            <w:tcW w:w="725" w:type="dxa"/>
            <w:tcBorders/>
            <w:vAlign w:val="center"/>
          </w:tcPr>
          <w:p>
            <w:pPr>
              <w:pStyle w:val="TableContents"/>
              <w:bidi w:val="0"/>
              <w:spacing w:before="0" w:after="283"/>
              <w:rPr/>
            </w:pPr>
            <w:r>
              <w:rPr/>
              <w:t>53.40</w:t>
            </w:r>
          </w:p>
        </w:tc>
      </w:tr>
      <w:tr>
        <w:trPr/>
        <w:tc>
          <w:tcPr>
            <w:tcW w:w="2109" w:type="dxa"/>
            <w:tcBorders/>
            <w:vAlign w:val="center"/>
          </w:tcPr>
          <w:p>
            <w:pPr>
              <w:pStyle w:val="TableContents"/>
              <w:bidi w:val="0"/>
              <w:spacing w:before="0" w:after="283"/>
              <w:rPr/>
            </w:pPr>
            <w:r>
              <w:rPr/>
              <w:t>Linear weight 0.50</w:t>
            </w:r>
          </w:p>
        </w:tc>
        <w:tc>
          <w:tcPr>
            <w:tcW w:w="1431" w:type="dxa"/>
            <w:tcBorders/>
            <w:vAlign w:val="center"/>
          </w:tcPr>
          <w:p>
            <w:pPr>
              <w:pStyle w:val="TableContents"/>
              <w:bidi w:val="0"/>
              <w:spacing w:before="0" w:after="283"/>
              <w:rPr/>
            </w:pPr>
            <w:r>
              <w:rPr/>
              <w:t>36.11</w:t>
            </w:r>
          </w:p>
        </w:tc>
        <w:tc>
          <w:tcPr>
            <w:tcW w:w="1068" w:type="dxa"/>
            <w:tcBorders/>
            <w:vAlign w:val="center"/>
          </w:tcPr>
          <w:p>
            <w:pPr>
              <w:pStyle w:val="TableContents"/>
              <w:bidi w:val="0"/>
              <w:spacing w:before="0" w:after="283"/>
              <w:rPr/>
            </w:pPr>
            <w:r>
              <w:rPr/>
              <w:t>85.73</w:t>
            </w:r>
          </w:p>
        </w:tc>
        <w:tc>
          <w:tcPr>
            <w:tcW w:w="665" w:type="dxa"/>
            <w:tcBorders/>
            <w:vAlign w:val="center"/>
          </w:tcPr>
          <w:p>
            <w:pPr>
              <w:pStyle w:val="TableContents"/>
              <w:bidi w:val="0"/>
              <w:spacing w:before="0" w:after="283"/>
              <w:rPr/>
            </w:pPr>
            <w:r>
              <w:rPr/>
              <w:t>50.81</w:t>
            </w:r>
          </w:p>
        </w:tc>
        <w:tc>
          <w:tcPr>
            <w:tcW w:w="725" w:type="dxa"/>
            <w:tcBorders/>
            <w:vAlign w:val="center"/>
          </w:tcPr>
          <w:p>
            <w:pPr>
              <w:pStyle w:val="TableContents"/>
              <w:bidi w:val="0"/>
              <w:spacing w:before="0" w:after="283"/>
              <w:rPr/>
            </w:pPr>
            <w:r>
              <w:rPr/>
              <w:t>56.82</w:t>
            </w:r>
          </w:p>
        </w:tc>
      </w:tr>
      <w:tr>
        <w:trPr/>
        <w:tc>
          <w:tcPr>
            <w:tcW w:w="2109" w:type="dxa"/>
            <w:tcBorders/>
            <w:vAlign w:val="center"/>
          </w:tcPr>
          <w:p>
            <w:pPr>
              <w:pStyle w:val="TableContents"/>
              <w:bidi w:val="0"/>
              <w:spacing w:before="0" w:after="283"/>
              <w:rPr/>
            </w:pPr>
            <w:r>
              <w:rPr/>
              <w:t>Linear weight 0.75</w:t>
            </w:r>
          </w:p>
        </w:tc>
        <w:tc>
          <w:tcPr>
            <w:tcW w:w="1431" w:type="dxa"/>
            <w:tcBorders/>
            <w:vAlign w:val="center"/>
          </w:tcPr>
          <w:p>
            <w:pPr>
              <w:pStyle w:val="TableContents"/>
              <w:bidi w:val="0"/>
              <w:spacing w:before="0" w:after="283"/>
              <w:rPr/>
            </w:pPr>
            <w:r>
              <w:rPr/>
              <w:t>33.72</w:t>
            </w:r>
          </w:p>
        </w:tc>
        <w:tc>
          <w:tcPr>
            <w:tcW w:w="1068" w:type="dxa"/>
            <w:tcBorders/>
            <w:vAlign w:val="center"/>
          </w:tcPr>
          <w:p>
            <w:pPr>
              <w:pStyle w:val="TableContents"/>
              <w:bidi w:val="0"/>
              <w:spacing w:before="0" w:after="283"/>
              <w:rPr/>
            </w:pPr>
            <w:r>
              <w:rPr/>
              <w:t>92.14</w:t>
            </w:r>
          </w:p>
        </w:tc>
        <w:tc>
          <w:tcPr>
            <w:tcW w:w="665" w:type="dxa"/>
            <w:tcBorders/>
            <w:vAlign w:val="center"/>
          </w:tcPr>
          <w:p>
            <w:pPr>
              <w:pStyle w:val="TableContents"/>
              <w:bidi w:val="0"/>
              <w:spacing w:before="0" w:after="283"/>
              <w:rPr/>
            </w:pPr>
            <w:r>
              <w:rPr/>
              <w:t>49.37</w:t>
            </w:r>
          </w:p>
        </w:tc>
        <w:tc>
          <w:tcPr>
            <w:tcW w:w="725" w:type="dxa"/>
            <w:tcBorders/>
            <w:vAlign w:val="center"/>
          </w:tcPr>
          <w:p>
            <w:pPr>
              <w:pStyle w:val="TableContents"/>
              <w:bidi w:val="0"/>
              <w:spacing w:before="0" w:after="283"/>
              <w:rPr/>
            </w:pPr>
            <w:r>
              <w:rPr/>
              <w:t>57.09</w:t>
            </w:r>
          </w:p>
        </w:tc>
      </w:tr>
      <w:tr>
        <w:trPr/>
        <w:tc>
          <w:tcPr>
            <w:tcW w:w="2109" w:type="dxa"/>
            <w:tcBorders/>
            <w:vAlign w:val="center"/>
          </w:tcPr>
          <w:p>
            <w:pPr>
              <w:pStyle w:val="TableContents"/>
              <w:bidi w:val="0"/>
              <w:spacing w:before="0" w:after="283"/>
              <w:rPr/>
            </w:pPr>
            <w:r>
              <w:rPr/>
              <w:t>Linear weight 1.00</w:t>
            </w:r>
          </w:p>
        </w:tc>
        <w:tc>
          <w:tcPr>
            <w:tcW w:w="1431" w:type="dxa"/>
            <w:tcBorders/>
            <w:vAlign w:val="center"/>
          </w:tcPr>
          <w:p>
            <w:pPr>
              <w:pStyle w:val="TableContents"/>
              <w:bidi w:val="0"/>
              <w:spacing w:before="0" w:after="283"/>
              <w:rPr/>
            </w:pPr>
            <w:r>
              <w:rPr/>
              <w:t>35.61</w:t>
            </w:r>
          </w:p>
        </w:tc>
        <w:tc>
          <w:tcPr>
            <w:tcW w:w="1068" w:type="dxa"/>
            <w:tcBorders/>
            <w:vAlign w:val="center"/>
          </w:tcPr>
          <w:p>
            <w:pPr>
              <w:pStyle w:val="TableContents"/>
              <w:bidi w:val="0"/>
              <w:spacing w:before="0" w:after="283"/>
              <w:rPr/>
            </w:pPr>
            <w:r>
              <w:rPr/>
              <w:t>87.38</w:t>
            </w:r>
          </w:p>
        </w:tc>
        <w:tc>
          <w:tcPr>
            <w:tcW w:w="665" w:type="dxa"/>
            <w:tcBorders/>
            <w:vAlign w:val="center"/>
          </w:tcPr>
          <w:p>
            <w:pPr>
              <w:pStyle w:val="TableContents"/>
              <w:bidi w:val="0"/>
              <w:spacing w:before="0" w:after="283"/>
              <w:rPr/>
            </w:pPr>
            <w:r>
              <w:rPr/>
              <w:t>50.60</w:t>
            </w:r>
          </w:p>
        </w:tc>
        <w:tc>
          <w:tcPr>
            <w:tcW w:w="725" w:type="dxa"/>
            <w:tcBorders/>
            <w:vAlign w:val="center"/>
          </w:tcPr>
          <w:p>
            <w:pPr>
              <w:pStyle w:val="TableContents"/>
              <w:bidi w:val="0"/>
              <w:spacing w:before="0" w:after="283"/>
              <w:rPr/>
            </w:pPr>
            <w:r>
              <w:rPr/>
              <w:t>56.99</w:t>
            </w:r>
          </w:p>
        </w:tc>
      </w:tr>
    </w:tbl>
    <w:p>
      <w:pPr>
        <w:pStyle w:val="BodyText"/>
        <w:bidi w:val="0"/>
        <w:rPr/>
      </w:pPr>
      <w:r>
        <w:rPr/>
        <w:t xml:space="preserve">For every mixture, its smoothing radius and threshold are selected on development only. The components reuse train-fitted, previously dev-selected context classifiers; this is a further development iteration, not new independent model discovery. Historical scores were inspected only after this round's selection was frozen. Selection/model/source hashes are retained in </w:t>
      </w:r>
      <w:r>
        <w:rPr>
          <w:rStyle w:val="SourceText"/>
        </w:rPr>
        <w:t>evaluation/pipeline_improvement/</w:t>
      </w:r>
      <w:r>
        <w:rPr/>
        <w:t>.</w:t>
      </w:r>
    </w:p>
    <w:p>
      <w:pPr>
        <w:pStyle w:val="BodyText"/>
        <w:bidi w:val="0"/>
        <w:rPr/>
      </w:pPr>
      <w:r>
        <w:rPr/>
        <w:t>The forest-versus-new-pipeline paired series bootstrap interval for F1 difference is -7.16 to +5.99 percentage points. Three test series and two development series remain insufficient for strong significance/generalisation claims. Average precision remains lower than the matched linear baseline. No labels or examples were removed or changed.</w:t>
      </w:r>
    </w:p>
    <w:p>
      <w:pPr>
        <w:pStyle w:val="Heading2"/>
        <w:bidi w:val="0"/>
        <w:rPr/>
      </w:pPr>
      <w:r>
        <w:rPr/>
        <w:t>What changed in the app</w:t>
      </w:r>
    </w:p>
    <w:p>
      <w:pPr>
        <w:pStyle w:val="BodyText"/>
        <w:numPr>
          <w:ilvl w:val="0"/>
          <w:numId w:val="1"/>
        </w:numPr>
        <w:tabs>
          <w:tab w:val="clear" w:pos="1134"/>
          <w:tab w:val="left" w:pos="709" w:leader="none"/>
        </w:tabs>
        <w:bidi w:val="0"/>
        <w:spacing w:before="0" w:after="0"/>
        <w:ind w:hanging="283" w:start="709"/>
        <w:rPr/>
      </w:pPr>
      <w:r>
        <w:rPr>
          <w:rStyle w:val="SourceText"/>
        </w:rPr>
        <w:t>src/meeting/discussions.py</w:t>
      </w:r>
      <w:r>
        <w:rPr/>
        <w:t xml:space="preserve"> performs batched sparse feature extraction and forest/linear scoring locally. Expanded context and feature matrices are bounded to one batch. It preserves source order and never crosses meetings. </w:t>
      </w:r>
    </w:p>
    <w:p>
      <w:pPr>
        <w:pStyle w:val="BodyText"/>
        <w:numPr>
          <w:ilvl w:val="0"/>
          <w:numId w:val="1"/>
        </w:numPr>
        <w:tabs>
          <w:tab w:val="clear" w:pos="1134"/>
          <w:tab w:val="left" w:pos="709" w:leader="none"/>
        </w:tabs>
        <w:bidi w:val="0"/>
        <w:spacing w:before="0" w:after="0"/>
        <w:ind w:hanging="283" w:start="709"/>
        <w:rPr/>
      </w:pPr>
      <w:r>
        <w:rPr/>
        <w:t xml:space="preserve">The complete audio-to-report orchestrator runs the learned stage after final transcription/speaker attribution. The preview remains a separate draft path. </w:t>
      </w:r>
    </w:p>
    <w:p>
      <w:pPr>
        <w:pStyle w:val="BodyText"/>
        <w:numPr>
          <w:ilvl w:val="0"/>
          <w:numId w:val="1"/>
        </w:numPr>
        <w:tabs>
          <w:tab w:val="clear" w:pos="1134"/>
          <w:tab w:val="left" w:pos="709" w:leader="none"/>
        </w:tabs>
        <w:bidi w:val="0"/>
        <w:spacing w:before="0" w:after="0"/>
        <w:ind w:hanging="283" w:start="709"/>
        <w:rPr/>
      </w:pPr>
      <w:r>
        <w:rPr/>
        <w:t xml:space="preserve">The decision-review screen shows verbatim suggested passages, speaker labels and audio seek buttons. All suggestions remain in report JSON/Markdown/HTML; the screen displays the first 100 for long recordings. </w:t>
      </w:r>
    </w:p>
    <w:p>
      <w:pPr>
        <w:pStyle w:val="BodyText"/>
        <w:numPr>
          <w:ilvl w:val="0"/>
          <w:numId w:val="1"/>
        </w:numPr>
        <w:tabs>
          <w:tab w:val="clear" w:pos="1134"/>
          <w:tab w:val="left" w:pos="709" w:leader="none"/>
        </w:tabs>
        <w:bidi w:val="0"/>
        <w:spacing w:before="0" w:after="0"/>
        <w:ind w:hanging="283" w:start="709"/>
        <w:rPr/>
      </w:pPr>
      <w:r>
        <w:rPr/>
        <w:t xml:space="preserve">English-only application is explicit. Mixed detected-language recordings and missing model assets do not receive unsupported learned labels. An optional-stage failure is reported without losing the transcript or other completed analysis. </w:t>
      </w:r>
    </w:p>
    <w:p>
      <w:pPr>
        <w:pStyle w:val="BodyText"/>
        <w:numPr>
          <w:ilvl w:val="0"/>
          <w:numId w:val="1"/>
        </w:numPr>
        <w:tabs>
          <w:tab w:val="clear" w:pos="1134"/>
          <w:tab w:val="left" w:pos="709" w:leader="none"/>
        </w:tabs>
        <w:bidi w:val="0"/>
        <w:ind w:hanging="283" w:start="709"/>
        <w:rPr/>
      </w:pPr>
      <w:r>
        <w:rPr/>
        <w:t xml:space="preserve">Scores are not calibrated correctness probabilities. The classifier's targets are discussion spans, not final decisions. Source-based decision reconstruction and influence weighting therefore remain separate. </w:t>
      </w:r>
    </w:p>
    <w:p>
      <w:pPr>
        <w:pStyle w:val="Heading2"/>
        <w:bidi w:val="0"/>
        <w:rPr/>
      </w:pPr>
      <w:r>
        <w:rPr/>
        <w:t>Validation and limits</w:t>
      </w:r>
    </w:p>
    <w:p>
      <w:pPr>
        <w:pStyle w:val="BodyText"/>
        <w:bidi w:val="0"/>
        <w:rPr/>
      </w:pPr>
      <w:r>
        <w:rPr/>
        <w:t>Unit coverage compares batched runtime features and smoothing against the frozen experiment, checks meeting boundaries and label independence, verifies passage IDs/text/timestamps and tests invalid input/failure behaviour. An orchestrator integration test checks that the new stage reaches JSON/Markdown/HTML exports without inventing decision events. Browser coverage verifies the learned section in the existing workflow.</w:t>
      </w:r>
    </w:p>
    <w:p>
      <w:pPr>
        <w:pStyle w:val="BodyText"/>
        <w:bidi w:val="0"/>
        <w:rPr/>
      </w:pPr>
      <w:r>
        <w:rPr/>
        <w:t xml:space="preserve">Real cached ASR transcripts are exercised separately in </w:t>
      </w:r>
      <w:r>
        <w:rPr>
          <w:rStyle w:val="SourceText"/>
        </w:rPr>
        <w:t>evaluation/pipeline_improvement/asr_smoke.json</w:t>
      </w:r>
      <w:r>
        <w:rPr/>
        <w:t>. These checks measure execution and source traceability only. Short introductory excerpts can yield no suggestions; this is retained rather than forcing positives. The mapping from human dialogue acts to longer ASR passages changes the input distribution and has not been accuracy-validated. Independent ASR-passage/recording annotations remain necessary. Hindi/Hinglish accuracy, final-decision accuracy and human influence rankings are not established by this experiment.</w:t>
      </w:r>
    </w:p>
    <w:p>
      <w:pPr>
        <w:pStyle w:val="Heading2"/>
        <w:bidi w:val="0"/>
        <w:rPr/>
      </w:pPr>
      <w:r>
        <w:rPr/>
        <w:t>Model installation and reproduction</w:t>
      </w:r>
    </w:p>
    <w:p>
      <w:pPr>
        <w:pStyle w:val="BodyText"/>
        <w:bidi w:val="0"/>
        <w:rPr/>
      </w:pPr>
      <w:r>
        <w:rPr/>
        <w:t xml:space="preserve">The model is installed locally at </w:t>
      </w:r>
      <w:r>
        <w:rPr>
          <w:rStyle w:val="SourceText"/>
        </w:rPr>
        <w:t>models/discussion/model.joblib</w:t>
      </w:r>
      <w:r>
        <w:rPr/>
        <w:t xml:space="preserve">, with its provenance in </w:t>
      </w:r>
      <w:r>
        <w:rPr>
          <w:rStyle w:val="SourceText"/>
        </w:rPr>
        <w:t>models/discussion/manifest.json</w:t>
      </w:r>
      <w:r>
        <w:rPr/>
        <w:t xml:space="preserve">. Model binaries are ignored by Git. A fresh checkout needs the training/evaluation artifacts before packaging; a checkout without the model reports </w:t>
      </w:r>
      <w:r>
        <w:rPr>
          <w:rStyle w:val="SourceText"/>
        </w:rPr>
        <w:t>model_unavailable</w:t>
      </w:r>
      <w:r>
        <w:rPr/>
        <w:t xml:space="preserve"> and keeps the existing rule pipeline operational. </w:t>
      </w:r>
      <w:r>
        <w:rPr>
          <w:rStyle w:val="SourceText"/>
        </w:rPr>
        <w:t>discussion_review.enabled</w:t>
      </w:r>
      <w:r>
        <w:rPr/>
        <w:t xml:space="preserve"> and </w:t>
      </w:r>
      <w:r>
        <w:rPr>
          <w:rStyle w:val="SourceText"/>
        </w:rPr>
        <w:t>discussion_review.model</w:t>
      </w:r>
      <w:r>
        <w:rPr/>
        <w:t xml:space="preserve"> in </w:t>
      </w:r>
      <w:r>
        <w:rPr>
          <w:rStyle w:val="SourceText"/>
        </w:rPr>
        <w:t>config/config.yaml</w:t>
      </w:r>
      <w:r>
        <w:rPr/>
        <w:t xml:space="preserve"> control this stage.</w:t>
      </w:r>
    </w:p>
    <w:p>
      <w:pPr>
        <w:pStyle w:val="PreformattedText"/>
        <w:bidi w:val="0"/>
        <w:rPr/>
      </w:pPr>
      <w:r>
        <w:rPr>
          <w:rStyle w:val="SourceText"/>
        </w:rPr>
        <w:t>OPENBLAS_NUM_THREADS=2 OMP_NUM_THREADS=2 .venv/bin/python scripts/improve_discussion_pipeline.py</w:t>
      </w:r>
    </w:p>
    <w:p>
      <w:pPr>
        <w:pStyle w:val="PreformattedText"/>
        <w:bidi w:val="0"/>
        <w:rPr/>
      </w:pPr>
      <w:r>
        <w:rPr>
          <w:rStyle w:val="SourceText"/>
        </w:rPr>
        <w:t>OPENBLAS_NUM_THREADS=2 OMP_NUM_THREADS=2 .venv/bin/python scripts/improve_discussion_pipeline.py --evaluate</w:t>
      </w:r>
    </w:p>
    <w:p>
      <w:pPr>
        <w:pStyle w:val="PreformattedText"/>
        <w:bidi w:val="0"/>
        <w:rPr/>
      </w:pPr>
      <w:r>
        <w:rPr>
          <w:rStyle w:val="SourceText"/>
        </w:rPr>
        <w:t>.venv/bin/python scripts/improve_discussion_pipeline.py --install</w:t>
      </w:r>
    </w:p>
    <w:p>
      <w:pPr>
        <w:pStyle w:val="PreformattedText"/>
        <w:bidi w:val="0"/>
        <w:spacing w:before="0" w:after="283"/>
        <w:rPr/>
      </w:pPr>
      <w:r>
        <w:rPr>
          <w:rStyle w:val="SourceText"/>
        </w:rPr>
        <w:t>MPLCONFIGDIR=/tmp/influenceiq-mpl .venv/bin/python scripts/report_pipeline_improvement.py</w:t>
      </w:r>
    </w:p>
    <w:p>
      <w:pPr>
        <w:pStyle w:val="BodyText"/>
        <w:bidi w:val="0"/>
        <w:spacing w:before="0" w:after="283"/>
        <w:rPr/>
      </w:pPr>
      <w:r>
        <w:rPr/>
        <w:t>The installation always packages the frozen development-selected mixture, irrespective of historical ranking. Prior experiment outputs and existing meeting reports are preserved. New analyses produce the additional discussion-review field; existing meetings need reanalysis to obtain it. No dependencies, neural downloads or cloud processing were added.</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Liberation Serif">
    <w:altName w:val="Times New Roman"/>
    <w:charset w:val="01"/>
    <w:family w:val="auto"/>
    <w:pitch w:val="default"/>
  </w:font>
  <w:font w:name="Noto Sans Mono">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Liberation Serif" w:cs="Liberation Serif"/>
      <w:color w:val="auto"/>
      <w:sz w:val="22"/>
      <w:szCs w:val="22"/>
      <w:lang w:val="en-US" w:eastAsia="zh-CN" w:bidi="hi-IN"/>
    </w:rPr>
  </w:style>
  <w:style w:type="paragraph" w:styleId="Heading1">
    <w:name w:val="heading 1"/>
    <w:basedOn w:val="Heading"/>
    <w:next w:val="BodyText"/>
    <w:qFormat/>
    <w:pPr>
      <w:keepNext w:val="true"/>
    </w:pPr>
    <w:rPr>
      <w:b/>
      <w:bCs/>
      <w:sz w:val="48"/>
      <w:szCs w:val="48"/>
    </w:rPr>
  </w:style>
  <w:style w:type="paragraph" w:styleId="Heading2">
    <w:name w:val="heading 2"/>
    <w:basedOn w:val="Heading"/>
    <w:next w:val="BodyText"/>
    <w:qFormat/>
    <w:pPr>
      <w:keepNext w:val="true"/>
      <w:spacing w:before="200" w:after="120"/>
      <w:outlineLvl w:val="1"/>
    </w:pPr>
    <w:rPr>
      <w:rFonts w:ascii="Noto Serif" w:hAnsi="Noto Serif" w:eastAsia="Noto Sans" w:cs="FreeSans"/>
      <w:b/>
      <w:bCs/>
      <w:sz w:val="36"/>
      <w:szCs w:val="36"/>
    </w:rPr>
  </w:style>
  <w:style w:type="paragraph" w:styleId="Heading3">
    <w:name w:val="heading 3"/>
    <w:basedOn w:val="Heading"/>
    <w:next w:val="BodyText"/>
    <w:qFormat/>
    <w:pPr>
      <w:keepNext w:val="true"/>
      <w:spacing w:before="140" w:after="120"/>
      <w:outlineLvl w:val="2"/>
    </w:pPr>
    <w:rPr>
      <w:rFonts w:ascii="Noto Serif" w:hAnsi="Noto Serif" w:eastAsia="Noto Sans" w:cs="Free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Noto Sans Mono" w:hAnsi="Noto Sans Mono" w:eastAsia="Noto Sans Mono" w:cs="Noto Sans Mono"/>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Noto Sans Mono" w:hAnsi="Noto Sans Mono" w:eastAsia="Noto Sans Mono" w:cs="Noto Sans Mono"/>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