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Quality improvements and complete metric scorecard</w:t>
      </w:r>
    </w:p>
    <w:p>
      <w:pPr>
        <w:pStyle w:val="BodyText"/>
        <w:bidi w:val="0"/>
        <w:rPr/>
      </w:pPr>
      <w:r>
        <w:rPr/>
        <w:t xml:space="preserve">The local speech default is </w:t>
      </w:r>
      <w:r>
        <w:rPr>
          <w:rStyle w:val="Strong"/>
        </w:rPr>
        <w:t>small</w:t>
      </w:r>
      <w:r>
        <w:rPr/>
        <w:t>. The discussion stage retains the installed 75% random-forest / 25% logistic-regression model. This round tested stronger recognition and four NLP improvement paths; failed candidates are preserved rather than reported as gains. These experiments train small discussion classifiers; none fine-tunes Whisper or the frozen sentence encoder.</w:t>
      </w:r>
    </w:p>
    <w:p>
      <w:pPr>
        <w:pStyle w:val="Heading2"/>
        <w:bidi w:val="0"/>
        <w:rPr/>
      </w:pPr>
      <w:r>
        <w:rPr/>
        <w:t>Discussion membership: all measured metrics</w:t>
      </w:r>
    </w:p>
    <w:tbl>
      <w:tblPr>
        <w:tblW w:w="6721" w:type="dxa"/>
        <w:jc w:val="start"/>
        <w:tblInd w:w="0" w:type="dxa"/>
        <w:tblLayout w:type="fixed"/>
        <w:tblCellMar>
          <w:top w:w="28" w:type="dxa"/>
          <w:start w:w="28" w:type="dxa"/>
          <w:bottom w:w="28" w:type="dxa"/>
          <w:end w:w="28" w:type="dxa"/>
        </w:tblCellMar>
      </w:tblPr>
      <w:tblGrid>
        <w:gridCol w:w="2124"/>
        <w:gridCol w:w="2599"/>
        <w:gridCol w:w="1998"/>
      </w:tblGrid>
      <w:tr>
        <w:trPr>
          <w:tblHeader w:val="true"/>
        </w:trPr>
        <w:tc>
          <w:tcPr>
            <w:tcW w:w="2124" w:type="dxa"/>
            <w:tcBorders/>
            <w:vAlign w:val="center"/>
          </w:tcPr>
          <w:p>
            <w:pPr>
              <w:pStyle w:val="TableHeading"/>
              <w:suppressLineNumbers/>
              <w:bidi w:val="0"/>
              <w:spacing w:before="0" w:after="283"/>
              <w:jc w:val="center"/>
              <w:rPr/>
            </w:pPr>
            <w:r>
              <w:rPr/>
              <w:t>Metric</w:t>
            </w:r>
          </w:p>
        </w:tc>
        <w:tc>
          <w:tcPr>
            <w:tcW w:w="2599" w:type="dxa"/>
            <w:tcBorders/>
            <w:vAlign w:val="center"/>
          </w:tcPr>
          <w:p>
            <w:pPr>
              <w:pStyle w:val="TableHeading"/>
              <w:suppressLineNumbers/>
              <w:bidi w:val="0"/>
              <w:spacing w:before="0" w:after="283"/>
              <w:jc w:val="center"/>
              <w:rPr/>
            </w:pPr>
            <w:r>
              <w:rPr/>
              <w:t>Installed forest/linear</w:t>
            </w:r>
          </w:p>
        </w:tc>
        <w:tc>
          <w:tcPr>
            <w:tcW w:w="1998" w:type="dxa"/>
            <w:tcBorders/>
            <w:vAlign w:val="center"/>
          </w:tcPr>
          <w:p>
            <w:pPr>
              <w:pStyle w:val="TableHeading"/>
              <w:suppressLineNumbers/>
              <w:bidi w:val="0"/>
              <w:spacing w:before="0" w:after="283"/>
              <w:jc w:val="center"/>
              <w:rPr/>
            </w:pPr>
            <w:r>
              <w:rPr/>
              <w:t>Always negative</w:t>
            </w:r>
          </w:p>
        </w:tc>
      </w:tr>
      <w:tr>
        <w:trPr/>
        <w:tc>
          <w:tcPr>
            <w:tcW w:w="2124" w:type="dxa"/>
            <w:tcBorders/>
            <w:vAlign w:val="center"/>
          </w:tcPr>
          <w:p>
            <w:pPr>
              <w:pStyle w:val="TableContents"/>
              <w:bidi w:val="0"/>
              <w:spacing w:before="0" w:after="283"/>
              <w:rPr/>
            </w:pPr>
            <w:r>
              <w:rPr/>
              <w:t>Accuracy</w:t>
            </w:r>
          </w:p>
        </w:tc>
        <w:tc>
          <w:tcPr>
            <w:tcW w:w="2599" w:type="dxa"/>
            <w:tcBorders/>
            <w:vAlign w:val="center"/>
          </w:tcPr>
          <w:p>
            <w:pPr>
              <w:pStyle w:val="TableContents"/>
              <w:bidi w:val="0"/>
              <w:spacing w:before="0" w:after="283"/>
              <w:rPr/>
            </w:pPr>
            <w:r>
              <w:rPr/>
              <w:t>68.62%</w:t>
            </w:r>
          </w:p>
        </w:tc>
        <w:tc>
          <w:tcPr>
            <w:tcW w:w="1998" w:type="dxa"/>
            <w:tcBorders/>
            <w:vAlign w:val="center"/>
          </w:tcPr>
          <w:p>
            <w:pPr>
              <w:pStyle w:val="TableContents"/>
              <w:bidi w:val="0"/>
              <w:spacing w:before="0" w:after="283"/>
              <w:rPr/>
            </w:pPr>
            <w:r>
              <w:rPr/>
              <w:t>77.72%</w:t>
            </w:r>
          </w:p>
        </w:tc>
      </w:tr>
      <w:tr>
        <w:trPr/>
        <w:tc>
          <w:tcPr>
            <w:tcW w:w="2124" w:type="dxa"/>
            <w:tcBorders/>
            <w:vAlign w:val="center"/>
          </w:tcPr>
          <w:p>
            <w:pPr>
              <w:pStyle w:val="TableContents"/>
              <w:bidi w:val="0"/>
              <w:spacing w:before="0" w:after="283"/>
              <w:rPr/>
            </w:pPr>
            <w:r>
              <w:rPr/>
              <w:t>Balanced accuracy</w:t>
            </w:r>
          </w:p>
        </w:tc>
        <w:tc>
          <w:tcPr>
            <w:tcW w:w="2599" w:type="dxa"/>
            <w:tcBorders/>
            <w:vAlign w:val="center"/>
          </w:tcPr>
          <w:p>
            <w:pPr>
              <w:pStyle w:val="TableContents"/>
              <w:bidi w:val="0"/>
              <w:spacing w:before="0" w:after="283"/>
              <w:rPr/>
            </w:pPr>
            <w:r>
              <w:rPr/>
              <w:t>73.10%</w:t>
            </w:r>
          </w:p>
        </w:tc>
        <w:tc>
          <w:tcPr>
            <w:tcW w:w="1998" w:type="dxa"/>
            <w:tcBorders/>
            <w:vAlign w:val="center"/>
          </w:tcPr>
          <w:p>
            <w:pPr>
              <w:pStyle w:val="TableContents"/>
              <w:bidi w:val="0"/>
              <w:spacing w:before="0" w:after="283"/>
              <w:rPr/>
            </w:pPr>
            <w:r>
              <w:rPr/>
              <w:t>50.00%</w:t>
            </w:r>
          </w:p>
        </w:tc>
      </w:tr>
      <w:tr>
        <w:trPr/>
        <w:tc>
          <w:tcPr>
            <w:tcW w:w="2124" w:type="dxa"/>
            <w:tcBorders/>
            <w:vAlign w:val="center"/>
          </w:tcPr>
          <w:p>
            <w:pPr>
              <w:pStyle w:val="TableContents"/>
              <w:bidi w:val="0"/>
              <w:spacing w:before="0" w:after="283"/>
              <w:rPr/>
            </w:pPr>
            <w:r>
              <w:rPr/>
              <w:t>Precision</w:t>
            </w:r>
          </w:p>
        </w:tc>
        <w:tc>
          <w:tcPr>
            <w:tcW w:w="2599" w:type="dxa"/>
            <w:tcBorders/>
            <w:vAlign w:val="center"/>
          </w:tcPr>
          <w:p>
            <w:pPr>
              <w:pStyle w:val="TableContents"/>
              <w:bidi w:val="0"/>
              <w:spacing w:before="0" w:after="283"/>
              <w:rPr/>
            </w:pPr>
            <w:r>
              <w:rPr/>
              <w:t>39.94%</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Recall</w:t>
            </w:r>
          </w:p>
        </w:tc>
        <w:tc>
          <w:tcPr>
            <w:tcW w:w="2599" w:type="dxa"/>
            <w:tcBorders/>
            <w:vAlign w:val="center"/>
          </w:tcPr>
          <w:p>
            <w:pPr>
              <w:pStyle w:val="TableContents"/>
              <w:bidi w:val="0"/>
              <w:spacing w:before="0" w:after="283"/>
              <w:rPr/>
            </w:pPr>
            <w:r>
              <w:rPr/>
              <w:t>81.18%</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F1</w:t>
            </w:r>
          </w:p>
        </w:tc>
        <w:tc>
          <w:tcPr>
            <w:tcW w:w="2599" w:type="dxa"/>
            <w:tcBorders/>
            <w:vAlign w:val="center"/>
          </w:tcPr>
          <w:p>
            <w:pPr>
              <w:pStyle w:val="TableContents"/>
              <w:bidi w:val="0"/>
              <w:spacing w:before="0" w:after="283"/>
              <w:rPr/>
            </w:pPr>
            <w:r>
              <w:rPr/>
              <w:t>53.54%</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Specificity</w:t>
            </w:r>
          </w:p>
        </w:tc>
        <w:tc>
          <w:tcPr>
            <w:tcW w:w="2599" w:type="dxa"/>
            <w:tcBorders/>
            <w:vAlign w:val="center"/>
          </w:tcPr>
          <w:p>
            <w:pPr>
              <w:pStyle w:val="TableContents"/>
              <w:bidi w:val="0"/>
              <w:spacing w:before="0" w:after="283"/>
              <w:rPr/>
            </w:pPr>
            <w:r>
              <w:rPr/>
              <w:t>65.01%</w:t>
            </w:r>
          </w:p>
        </w:tc>
        <w:tc>
          <w:tcPr>
            <w:tcW w:w="1998" w:type="dxa"/>
            <w:tcBorders/>
            <w:vAlign w:val="center"/>
          </w:tcPr>
          <w:p>
            <w:pPr>
              <w:pStyle w:val="TableContents"/>
              <w:bidi w:val="0"/>
              <w:spacing w:before="0" w:after="283"/>
              <w:rPr/>
            </w:pPr>
            <w:r>
              <w:rPr/>
              <w:t>100.00%</w:t>
            </w:r>
          </w:p>
        </w:tc>
      </w:tr>
      <w:tr>
        <w:trPr/>
        <w:tc>
          <w:tcPr>
            <w:tcW w:w="2124" w:type="dxa"/>
            <w:tcBorders/>
            <w:vAlign w:val="center"/>
          </w:tcPr>
          <w:p>
            <w:pPr>
              <w:pStyle w:val="TableContents"/>
              <w:bidi w:val="0"/>
              <w:spacing w:before="0" w:after="283"/>
              <w:rPr/>
            </w:pPr>
            <w:r>
              <w:rPr/>
              <w:t>Macro F1</w:t>
            </w:r>
          </w:p>
        </w:tc>
        <w:tc>
          <w:tcPr>
            <w:tcW w:w="2599" w:type="dxa"/>
            <w:tcBorders/>
            <w:vAlign w:val="center"/>
          </w:tcPr>
          <w:p>
            <w:pPr>
              <w:pStyle w:val="TableContents"/>
              <w:bidi w:val="0"/>
              <w:spacing w:before="0" w:after="283"/>
              <w:rPr/>
            </w:pPr>
            <w:r>
              <w:rPr/>
              <w:t>64.92%</w:t>
            </w:r>
          </w:p>
        </w:tc>
        <w:tc>
          <w:tcPr>
            <w:tcW w:w="1998" w:type="dxa"/>
            <w:tcBorders/>
            <w:vAlign w:val="center"/>
          </w:tcPr>
          <w:p>
            <w:pPr>
              <w:pStyle w:val="TableContents"/>
              <w:bidi w:val="0"/>
              <w:spacing w:before="0" w:after="283"/>
              <w:rPr/>
            </w:pPr>
            <w:r>
              <w:rPr/>
              <w:t>43.73%</w:t>
            </w:r>
          </w:p>
        </w:tc>
      </w:tr>
      <w:tr>
        <w:trPr/>
        <w:tc>
          <w:tcPr>
            <w:tcW w:w="2124" w:type="dxa"/>
            <w:tcBorders/>
            <w:vAlign w:val="center"/>
          </w:tcPr>
          <w:p>
            <w:pPr>
              <w:pStyle w:val="TableContents"/>
              <w:bidi w:val="0"/>
              <w:spacing w:before="0" w:after="283"/>
              <w:rPr/>
            </w:pPr>
            <w:r>
              <w:rPr/>
              <w:t>Average precision</w:t>
            </w:r>
          </w:p>
        </w:tc>
        <w:tc>
          <w:tcPr>
            <w:tcW w:w="2599" w:type="dxa"/>
            <w:tcBorders/>
            <w:vAlign w:val="center"/>
          </w:tcPr>
          <w:p>
            <w:pPr>
              <w:pStyle w:val="TableContents"/>
              <w:bidi w:val="0"/>
              <w:spacing w:before="0" w:after="283"/>
              <w:rPr/>
            </w:pPr>
            <w:r>
              <w:rPr/>
              <w:t>53.40%</w:t>
            </w:r>
          </w:p>
        </w:tc>
        <w:tc>
          <w:tcPr>
            <w:tcW w:w="1998" w:type="dxa"/>
            <w:tcBorders/>
            <w:vAlign w:val="center"/>
          </w:tcPr>
          <w:p>
            <w:pPr>
              <w:pStyle w:val="TableContents"/>
              <w:bidi w:val="0"/>
              <w:spacing w:before="0" w:after="283"/>
              <w:rPr/>
            </w:pPr>
            <w:r>
              <w:rPr/>
              <w:t>22.28%</w:t>
            </w:r>
          </w:p>
        </w:tc>
      </w:tr>
      <w:tr>
        <w:trPr/>
        <w:tc>
          <w:tcPr>
            <w:tcW w:w="2124" w:type="dxa"/>
            <w:tcBorders/>
            <w:vAlign w:val="center"/>
          </w:tcPr>
          <w:p>
            <w:pPr>
              <w:pStyle w:val="TableContents"/>
              <w:bidi w:val="0"/>
              <w:spacing w:before="0" w:after="283"/>
              <w:rPr/>
            </w:pPr>
            <w:r>
              <w:rPr/>
              <w:t>ROC AUC</w:t>
            </w:r>
          </w:p>
        </w:tc>
        <w:tc>
          <w:tcPr>
            <w:tcW w:w="2599" w:type="dxa"/>
            <w:tcBorders/>
            <w:vAlign w:val="center"/>
          </w:tcPr>
          <w:p>
            <w:pPr>
              <w:pStyle w:val="TableContents"/>
              <w:bidi w:val="0"/>
              <w:spacing w:before="0" w:after="283"/>
              <w:rPr/>
            </w:pPr>
            <w:r>
              <w:rPr/>
              <w:t>80.03%</w:t>
            </w:r>
          </w:p>
        </w:tc>
        <w:tc>
          <w:tcPr>
            <w:tcW w:w="1998" w:type="dxa"/>
            <w:tcBorders/>
            <w:vAlign w:val="center"/>
          </w:tcPr>
          <w:p>
            <w:pPr>
              <w:pStyle w:val="TableContents"/>
              <w:bidi w:val="0"/>
              <w:spacing w:before="0" w:after="283"/>
              <w:rPr/>
            </w:pPr>
            <w:r>
              <w:rPr/>
              <w:t>50.00%</w:t>
            </w:r>
          </w:p>
        </w:tc>
      </w:tr>
      <w:tr>
        <w:trPr/>
        <w:tc>
          <w:tcPr>
            <w:tcW w:w="2124" w:type="dxa"/>
            <w:tcBorders/>
            <w:vAlign w:val="center"/>
          </w:tcPr>
          <w:p>
            <w:pPr>
              <w:pStyle w:val="TableContents"/>
              <w:bidi w:val="0"/>
              <w:spacing w:before="0" w:after="283"/>
              <w:rPr/>
            </w:pPr>
            <w:r>
              <w:rPr/>
              <w:t>MCC</w:t>
            </w:r>
          </w:p>
        </w:tc>
        <w:tc>
          <w:tcPr>
            <w:tcW w:w="2599" w:type="dxa"/>
            <w:tcBorders/>
            <w:vAlign w:val="center"/>
          </w:tcPr>
          <w:p>
            <w:pPr>
              <w:pStyle w:val="TableContents"/>
              <w:bidi w:val="0"/>
              <w:spacing w:before="0" w:after="283"/>
              <w:rPr/>
            </w:pPr>
            <w:r>
              <w:rPr/>
              <w:t>0.3861</w:t>
            </w:r>
          </w:p>
        </w:tc>
        <w:tc>
          <w:tcPr>
            <w:tcW w:w="1998" w:type="dxa"/>
            <w:tcBorders/>
            <w:vAlign w:val="center"/>
          </w:tcPr>
          <w:p>
            <w:pPr>
              <w:pStyle w:val="TableContents"/>
              <w:bidi w:val="0"/>
              <w:spacing w:before="0" w:after="283"/>
              <w:rPr/>
            </w:pPr>
            <w:r>
              <w:rPr/>
              <w:t>0.0000</w:t>
            </w:r>
          </w:p>
        </w:tc>
      </w:tr>
      <w:tr>
        <w:trPr/>
        <w:tc>
          <w:tcPr>
            <w:tcW w:w="2124" w:type="dxa"/>
            <w:tcBorders/>
            <w:vAlign w:val="center"/>
          </w:tcPr>
          <w:p>
            <w:pPr>
              <w:pStyle w:val="TableContents"/>
              <w:bidi w:val="0"/>
              <w:spacing w:before="0" w:after="283"/>
              <w:rPr/>
            </w:pPr>
            <w:r>
              <w:rPr/>
              <w:t>Brier score</w:t>
            </w:r>
          </w:p>
        </w:tc>
        <w:tc>
          <w:tcPr>
            <w:tcW w:w="2599" w:type="dxa"/>
            <w:tcBorders/>
            <w:vAlign w:val="center"/>
          </w:tcPr>
          <w:p>
            <w:pPr>
              <w:pStyle w:val="TableContents"/>
              <w:bidi w:val="0"/>
              <w:spacing w:before="0" w:after="283"/>
              <w:rPr/>
            </w:pPr>
            <w:r>
              <w:rPr/>
              <w:t>0.1625</w:t>
            </w:r>
          </w:p>
        </w:tc>
        <w:tc>
          <w:tcPr>
            <w:tcW w:w="1998" w:type="dxa"/>
            <w:tcBorders/>
            <w:vAlign w:val="center"/>
          </w:tcPr>
          <w:p>
            <w:pPr>
              <w:pStyle w:val="TableContents"/>
              <w:bidi w:val="0"/>
              <w:spacing w:before="0" w:after="283"/>
              <w:rPr/>
            </w:pPr>
            <w:r>
              <w:rPr/>
              <w:t>0.2228</w:t>
            </w:r>
          </w:p>
        </w:tc>
      </w:tr>
    </w:tbl>
    <w:p>
      <w:pPr>
        <w:pStyle w:val="BodyText"/>
        <w:bidi w:val="0"/>
        <w:rPr/>
      </w:pPr>
      <w:r>
        <w:rPr/>
        <w:t>All rows use the same 11,136 reference dialogue acts, including 2,481 positives and 8,655 negatives, from 12 AMI meetings in three project series. Inputs are human transcripts and dialogue-act boundaries. The installed threshold is 0.357740 with ±5-act smoothing. Its confusion matrix is TN=5,627, FP=3,028, FN=467, TP=2,014. Higher is better except Brier (lower). Scores are uncalibrated; Brier is descriptive, not evidence of correctness probabilities.</w:t>
      </w:r>
    </w:p>
    <w:p>
      <w:pPr>
        <w:pStyle w:val="BodyText"/>
        <w:bidi w:val="0"/>
        <w:rPr/>
      </w:pPr>
      <w:r>
        <w:rPr/>
        <w:t>Always-negative accuracy exceeds the useful detector's accuracy because 77.72% of acts are negative; its positive F1 and recall are zero. Accuracy alone therefore cannot identify a useful discussion detector. These are task metrics, not whole-project accuracy. Actual ASR-passage accuracy, final-decision accuracy and human influence accuracy remain unmeasured.</w:t>
      </w:r>
    </w:p>
    <w:p>
      <w:pPr>
        <w:pStyle w:val="Heading2"/>
        <w:bidi w:val="0"/>
        <w:rPr/>
      </w:pPr>
      <w:r>
        <w:rPr/>
        <w:t>This round's NLP experiments</w:t>
      </w:r>
    </w:p>
    <w:tbl>
      <w:tblPr>
        <w:tblW w:w="11339" w:type="dxa"/>
        <w:jc w:val="start"/>
        <w:tblInd w:w="0" w:type="dxa"/>
        <w:tblLayout w:type="fixed"/>
        <w:tblCellMar>
          <w:top w:w="28" w:type="dxa"/>
          <w:start w:w="28" w:type="dxa"/>
          <w:bottom w:w="28" w:type="dxa"/>
          <w:end w:w="28" w:type="dxa"/>
        </w:tblCellMar>
      </w:tblPr>
      <w:tblGrid>
        <w:gridCol w:w="2929"/>
        <w:gridCol w:w="2801"/>
        <w:gridCol w:w="1564"/>
        <w:gridCol w:w="1564"/>
        <w:gridCol w:w="2481"/>
      </w:tblGrid>
      <w:tr>
        <w:trPr>
          <w:tblHeader w:val="true"/>
        </w:trPr>
        <w:tc>
          <w:tcPr>
            <w:tcW w:w="2929" w:type="dxa"/>
            <w:tcBorders/>
            <w:vAlign w:val="center"/>
          </w:tcPr>
          <w:p>
            <w:pPr>
              <w:pStyle w:val="TableHeading"/>
              <w:suppressLineNumbers/>
              <w:bidi w:val="0"/>
              <w:spacing w:before="0" w:after="283"/>
              <w:jc w:val="center"/>
              <w:rPr/>
            </w:pPr>
            <w:r>
              <w:rPr/>
              <w:t>Fixed trial</w:t>
            </w:r>
          </w:p>
        </w:tc>
        <w:tc>
          <w:tcPr>
            <w:tcW w:w="2801" w:type="dxa"/>
            <w:tcBorders/>
            <w:vAlign w:val="center"/>
          </w:tcPr>
          <w:p>
            <w:pPr>
              <w:pStyle w:val="TableHeading"/>
              <w:suppressLineNumbers/>
              <w:bidi w:val="0"/>
              <w:spacing w:before="0" w:after="283"/>
              <w:jc w:val="center"/>
              <w:rPr/>
            </w:pPr>
            <w:r>
              <w:rPr/>
              <w:t>Development outcome</w:t>
            </w:r>
          </w:p>
        </w:tc>
        <w:tc>
          <w:tcPr>
            <w:tcW w:w="1564" w:type="dxa"/>
            <w:tcBorders/>
            <w:vAlign w:val="center"/>
          </w:tcPr>
          <w:p>
            <w:pPr>
              <w:pStyle w:val="TableHeading"/>
              <w:suppressLineNumbers/>
              <w:bidi w:val="0"/>
              <w:spacing w:before="0" w:after="283"/>
              <w:jc w:val="center"/>
              <w:rPr/>
            </w:pPr>
            <w:r>
              <w:rPr/>
              <w:t>Historical F1</w:t>
            </w:r>
          </w:p>
        </w:tc>
        <w:tc>
          <w:tcPr>
            <w:tcW w:w="1564" w:type="dxa"/>
            <w:tcBorders/>
            <w:vAlign w:val="center"/>
          </w:tcPr>
          <w:p>
            <w:pPr>
              <w:pStyle w:val="TableHeading"/>
              <w:suppressLineNumbers/>
              <w:bidi w:val="0"/>
              <w:spacing w:before="0" w:after="283"/>
              <w:jc w:val="center"/>
              <w:rPr/>
            </w:pPr>
            <w:r>
              <w:rPr/>
              <w:t>Historical AP</w:t>
            </w:r>
          </w:p>
        </w:tc>
        <w:tc>
          <w:tcPr>
            <w:tcW w:w="2481" w:type="dxa"/>
            <w:tcBorders/>
            <w:vAlign w:val="center"/>
          </w:tcPr>
          <w:p>
            <w:pPr>
              <w:pStyle w:val="TableHeading"/>
              <w:suppressLineNumbers/>
              <w:bidi w:val="0"/>
              <w:spacing w:before="0" w:after="283"/>
              <w:jc w:val="center"/>
              <w:rPr/>
            </w:pPr>
            <w:r>
              <w:rPr/>
              <w:t>Installation</w:t>
            </w:r>
          </w:p>
        </w:tc>
      </w:tr>
      <w:tr>
        <w:trPr/>
        <w:tc>
          <w:tcPr>
            <w:tcW w:w="2929" w:type="dxa"/>
            <w:tcBorders/>
            <w:vAlign w:val="center"/>
          </w:tcPr>
          <w:p>
            <w:pPr>
              <w:pStyle w:val="TableContents"/>
              <w:bidi w:val="0"/>
              <w:spacing w:before="0" w:after="283"/>
              <w:rPr/>
            </w:pPr>
            <w:r>
              <w:rPr/>
              <w:t>Frozen sentence embeddings + classifiers</w:t>
            </w:r>
          </w:p>
        </w:tc>
        <w:tc>
          <w:tcPr>
            <w:tcW w:w="2801" w:type="dxa"/>
            <w:tcBorders/>
            <w:vAlign w:val="center"/>
          </w:tcPr>
          <w:p>
            <w:pPr>
              <w:pStyle w:val="TableContents"/>
              <w:bidi w:val="0"/>
              <w:spacing w:before="0" w:after="283"/>
              <w:rPr/>
            </w:pPr>
            <w:r>
              <w:rPr/>
              <w:t>No five-metric non-regression winner</w:t>
            </w:r>
          </w:p>
        </w:tc>
        <w:tc>
          <w:tcPr>
            <w:tcW w:w="1564" w:type="dxa"/>
            <w:tcBorders/>
            <w:vAlign w:val="center"/>
          </w:tcPr>
          <w:p>
            <w:pPr>
              <w:pStyle w:val="TableContents"/>
              <w:bidi w:val="0"/>
              <w:spacing w:before="0" w:after="283"/>
              <w:rPr/>
            </w:pPr>
            <w:r>
              <w:rPr/>
              <w:t>Baseline retained</w:t>
            </w:r>
          </w:p>
        </w:tc>
        <w:tc>
          <w:tcPr>
            <w:tcW w:w="1564" w:type="dxa"/>
            <w:tcBorders/>
            <w:vAlign w:val="center"/>
          </w:tcPr>
          <w:p>
            <w:pPr>
              <w:pStyle w:val="TableContents"/>
              <w:bidi w:val="0"/>
              <w:spacing w:before="0" w:after="283"/>
              <w:rPr/>
            </w:pPr>
            <w:r>
              <w:rPr/>
              <w:t>Baseline retained</w:t>
            </w:r>
          </w:p>
        </w:tc>
        <w:tc>
          <w:tcPr>
            <w:tcW w:w="2481" w:type="dxa"/>
            <w:tcBorders/>
            <w:vAlign w:val="center"/>
          </w:tcPr>
          <w:p>
            <w:pPr>
              <w:pStyle w:val="TableContents"/>
              <w:bidi w:val="0"/>
              <w:spacing w:before="0" w:after="283"/>
              <w:rPr/>
            </w:pPr>
            <w:r>
              <w:rPr/>
              <w:t>No change</w:t>
            </w:r>
          </w:p>
        </w:tc>
      </w:tr>
      <w:tr>
        <w:trPr/>
        <w:tc>
          <w:tcPr>
            <w:tcW w:w="2929" w:type="dxa"/>
            <w:tcBorders/>
            <w:vAlign w:val="center"/>
          </w:tcPr>
          <w:p>
            <w:pPr>
              <w:pStyle w:val="TableContents"/>
              <w:bidi w:val="0"/>
              <w:spacing w:before="0" w:after="283"/>
              <w:rPr/>
            </w:pPr>
            <w:r>
              <w:rPr/>
              <w:t>Time-aware forward/backward smoothing</w:t>
            </w:r>
          </w:p>
        </w:tc>
        <w:tc>
          <w:tcPr>
            <w:tcW w:w="2801" w:type="dxa"/>
            <w:tcBorders/>
            <w:vAlign w:val="center"/>
          </w:tcPr>
          <w:p>
            <w:pPr>
              <w:pStyle w:val="TableContents"/>
              <w:bidi w:val="0"/>
              <w:spacing w:before="0" w:after="283"/>
              <w:rPr/>
            </w:pPr>
            <w:r>
              <w:rPr/>
              <w:t>No five-metric non-regression winner</w:t>
            </w:r>
          </w:p>
        </w:tc>
        <w:tc>
          <w:tcPr>
            <w:tcW w:w="1564" w:type="dxa"/>
            <w:tcBorders/>
            <w:vAlign w:val="center"/>
          </w:tcPr>
          <w:p>
            <w:pPr>
              <w:pStyle w:val="TableContents"/>
              <w:bidi w:val="0"/>
              <w:spacing w:before="0" w:after="283"/>
              <w:rPr/>
            </w:pPr>
            <w:r>
              <w:rPr/>
              <w:t>Baseline retained</w:t>
            </w:r>
          </w:p>
        </w:tc>
        <w:tc>
          <w:tcPr>
            <w:tcW w:w="1564" w:type="dxa"/>
            <w:tcBorders/>
            <w:vAlign w:val="center"/>
          </w:tcPr>
          <w:p>
            <w:pPr>
              <w:pStyle w:val="TableContents"/>
              <w:bidi w:val="0"/>
              <w:spacing w:before="0" w:after="283"/>
              <w:rPr/>
            </w:pPr>
            <w:r>
              <w:rPr/>
              <w:t>Baseline retained</w:t>
            </w:r>
          </w:p>
        </w:tc>
        <w:tc>
          <w:tcPr>
            <w:tcW w:w="2481" w:type="dxa"/>
            <w:tcBorders/>
            <w:vAlign w:val="center"/>
          </w:tcPr>
          <w:p>
            <w:pPr>
              <w:pStyle w:val="TableContents"/>
              <w:bidi w:val="0"/>
              <w:spacing w:before="0" w:after="283"/>
              <w:rPr/>
            </w:pPr>
            <w:r>
              <w:rPr/>
              <w:t>No change</w:t>
            </w:r>
          </w:p>
        </w:tc>
      </w:tr>
      <w:tr>
        <w:trPr/>
        <w:tc>
          <w:tcPr>
            <w:tcW w:w="2929" w:type="dxa"/>
            <w:tcBorders/>
            <w:vAlign w:val="center"/>
          </w:tcPr>
          <w:p>
            <w:pPr>
              <w:pStyle w:val="TableContents"/>
              <w:bidi w:val="0"/>
              <w:spacing w:before="0" w:after="283"/>
              <w:rPr/>
            </w:pPr>
            <w:r>
              <w:rPr/>
              <w:t>Calibrated forest/NB combination</w:t>
            </w:r>
          </w:p>
        </w:tc>
        <w:tc>
          <w:tcPr>
            <w:tcW w:w="2801" w:type="dxa"/>
            <w:tcBorders/>
            <w:vAlign w:val="center"/>
          </w:tcPr>
          <w:p>
            <w:pPr>
              <w:pStyle w:val="TableContents"/>
              <w:bidi w:val="0"/>
              <w:spacing w:before="0" w:after="283"/>
              <w:rPr/>
            </w:pPr>
            <w:r>
              <w:rPr/>
              <w:t>F1 60.75%</w:t>
            </w:r>
          </w:p>
        </w:tc>
        <w:tc>
          <w:tcPr>
            <w:tcW w:w="1564" w:type="dxa"/>
            <w:tcBorders/>
            <w:vAlign w:val="center"/>
          </w:tcPr>
          <w:p>
            <w:pPr>
              <w:pStyle w:val="TableContents"/>
              <w:bidi w:val="0"/>
              <w:spacing w:before="0" w:after="283"/>
              <w:rPr/>
            </w:pPr>
            <w:r>
              <w:rPr/>
              <w:t>52.93%</w:t>
            </w:r>
          </w:p>
        </w:tc>
        <w:tc>
          <w:tcPr>
            <w:tcW w:w="1564" w:type="dxa"/>
            <w:tcBorders/>
            <w:vAlign w:val="center"/>
          </w:tcPr>
          <w:p>
            <w:pPr>
              <w:pStyle w:val="TableContents"/>
              <w:bidi w:val="0"/>
              <w:spacing w:before="0" w:after="283"/>
              <w:rPr/>
            </w:pPr>
            <w:r>
              <w:rPr/>
              <w:t>45.91%</w:t>
            </w:r>
          </w:p>
        </w:tc>
        <w:tc>
          <w:tcPr>
            <w:tcW w:w="2481" w:type="dxa"/>
            <w:tcBorders/>
            <w:vAlign w:val="center"/>
          </w:tcPr>
          <w:p>
            <w:pPr>
              <w:pStyle w:val="TableContents"/>
              <w:bidi w:val="0"/>
              <w:spacing w:before="0" w:after="283"/>
              <w:rPr/>
            </w:pPr>
            <w:r>
              <w:rPr/>
              <w:t>Rejected: historical regression</w:t>
            </w:r>
          </w:p>
        </w:tc>
      </w:tr>
      <w:tr>
        <w:trPr/>
        <w:tc>
          <w:tcPr>
            <w:tcW w:w="2929" w:type="dxa"/>
            <w:tcBorders/>
            <w:vAlign w:val="center"/>
          </w:tcPr>
          <w:p>
            <w:pPr>
              <w:pStyle w:val="TableContents"/>
              <w:bidi w:val="0"/>
              <w:spacing w:before="0" w:after="283"/>
              <w:rPr/>
            </w:pPr>
            <w:r>
              <w:rPr/>
              <w:t>Fixed train+development refit</w:t>
            </w:r>
          </w:p>
        </w:tc>
        <w:tc>
          <w:tcPr>
            <w:tcW w:w="2801" w:type="dxa"/>
            <w:tcBorders/>
            <w:vAlign w:val="center"/>
          </w:tcPr>
          <w:p>
            <w:pPr>
              <w:pStyle w:val="TableContents"/>
              <w:bidi w:val="0"/>
              <w:spacing w:before="0" w:after="283"/>
              <w:rPr/>
            </w:pPr>
            <w:r>
              <w:rPr/>
              <w:t>No independent dev score after refit</w:t>
            </w:r>
          </w:p>
        </w:tc>
        <w:tc>
          <w:tcPr>
            <w:tcW w:w="1564" w:type="dxa"/>
            <w:tcBorders/>
            <w:vAlign w:val="center"/>
          </w:tcPr>
          <w:p>
            <w:pPr>
              <w:pStyle w:val="TableContents"/>
              <w:bidi w:val="0"/>
              <w:spacing w:before="0" w:after="283"/>
              <w:rPr/>
            </w:pPr>
            <w:r>
              <w:rPr/>
              <w:t>53.72%</w:t>
            </w:r>
          </w:p>
        </w:tc>
        <w:tc>
          <w:tcPr>
            <w:tcW w:w="1564" w:type="dxa"/>
            <w:tcBorders/>
            <w:vAlign w:val="center"/>
          </w:tcPr>
          <w:p>
            <w:pPr>
              <w:pStyle w:val="TableContents"/>
              <w:bidi w:val="0"/>
              <w:spacing w:before="0" w:after="283"/>
              <w:rPr/>
            </w:pPr>
            <w:r>
              <w:rPr/>
              <w:t>48.70%</w:t>
            </w:r>
          </w:p>
        </w:tc>
        <w:tc>
          <w:tcPr>
            <w:tcW w:w="2481" w:type="dxa"/>
            <w:tcBorders/>
            <w:vAlign w:val="center"/>
          </w:tcPr>
          <w:p>
            <w:pPr>
              <w:pStyle w:val="TableContents"/>
              <w:bidi w:val="0"/>
              <w:spacing w:before="0" w:after="283"/>
              <w:rPr/>
            </w:pPr>
            <w:r>
              <w:rPr/>
              <w:t>Rejected: historical AP regression</w:t>
            </w:r>
          </w:p>
        </w:tc>
      </w:tr>
    </w:tbl>
    <w:p>
      <w:pPr>
        <w:pStyle w:val="BodyText"/>
        <w:bidi w:val="0"/>
        <w:rPr/>
      </w:pPr>
      <w:r>
        <w:rPr/>
        <w:t>The semantic study used the local frozen MiniLM encoder, context radii 5/15/40, optional timing features, logistic and gradient-boosted classifiers, and mixtures with the baseline. The continuity study estimated transitions on training labels and used elapsed-time forward/backward scores. Development selection required non-regression on precision, recall, F1, accuracy and AP. Neither study produced an eligible replacement. Full prespecified alternatives remain in the saved artifacts.</w:t>
      </w:r>
    </w:p>
    <w:p>
      <w:pPr>
        <w:pStyle w:val="BodyText"/>
        <w:bidi w:val="0"/>
        <w:rPr/>
      </w:pPr>
      <w:r>
        <w:rPr/>
        <w:t>The calibrated trial used ComplementNB with project-group-separated calibration folds, blended with the forest. Shared vocabulary fitting on the complete training set is disclosed in its protocol. Development improvements did not transfer to the historical cohort. The final refit used 35 train+development meetings (24,078 acts), keeping vocabulary, model settings, mixture, smoothing and threshold fixed; historical meetings were excluded from fitting. Its higher recall/F1 came with lower precision, accuracy and AP. Training size differs from prior 29-meeting comparisons, so it is not a matched-data algorithm comparison. Both failed the fixed historical release gate; no historical-best substitution was made.</w:t>
      </w:r>
    </w:p>
    <w:p>
      <w:pPr>
        <w:pStyle w:val="Heading2"/>
        <w:bidi w:val="0"/>
        <w:rPr/>
      </w:pPr>
      <w:r>
        <w:rPr/>
        <w:t>Speech recognition comparison</w:t>
      </w:r>
    </w:p>
    <w:tbl>
      <w:tblPr>
        <w:tblW w:w="10192" w:type="dxa"/>
        <w:jc w:val="start"/>
        <w:tblInd w:w="0" w:type="dxa"/>
        <w:tblLayout w:type="fixed"/>
        <w:tblCellMar>
          <w:top w:w="28" w:type="dxa"/>
          <w:start w:w="28" w:type="dxa"/>
          <w:bottom w:w="28" w:type="dxa"/>
          <w:end w:w="28" w:type="dxa"/>
        </w:tblCellMar>
      </w:tblPr>
      <w:tblGrid>
        <w:gridCol w:w="3263"/>
        <w:gridCol w:w="1678"/>
        <w:gridCol w:w="2389"/>
        <w:gridCol w:w="2862"/>
      </w:tblGrid>
      <w:tr>
        <w:trPr>
          <w:tblHeader w:val="true"/>
        </w:trPr>
        <w:tc>
          <w:tcPr>
            <w:tcW w:w="3263" w:type="dxa"/>
            <w:tcBorders/>
            <w:vAlign w:val="center"/>
          </w:tcPr>
          <w:p>
            <w:pPr>
              <w:pStyle w:val="TableHeading"/>
              <w:suppressLineNumbers/>
              <w:bidi w:val="0"/>
              <w:spacing w:before="0" w:after="283"/>
              <w:jc w:val="center"/>
              <w:rPr/>
            </w:pPr>
            <w:r>
              <w:rPr/>
              <w:t>Cohort</w:t>
            </w:r>
          </w:p>
        </w:tc>
        <w:tc>
          <w:tcPr>
            <w:tcW w:w="1678" w:type="dxa"/>
            <w:tcBorders/>
            <w:vAlign w:val="center"/>
          </w:tcPr>
          <w:p>
            <w:pPr>
              <w:pStyle w:val="TableHeading"/>
              <w:suppressLineNumbers/>
              <w:bidi w:val="0"/>
              <w:spacing w:before="0" w:after="283"/>
              <w:jc w:val="center"/>
              <w:rPr/>
            </w:pPr>
            <w:r>
              <w:rPr/>
              <w:t>Speech model</w:t>
            </w:r>
          </w:p>
        </w:tc>
        <w:tc>
          <w:tcPr>
            <w:tcW w:w="2389" w:type="dxa"/>
            <w:tcBorders/>
            <w:vAlign w:val="center"/>
          </w:tcPr>
          <w:p>
            <w:pPr>
              <w:pStyle w:val="TableHeading"/>
              <w:suppressLineNumbers/>
              <w:bidi w:val="0"/>
              <w:spacing w:before="0" w:after="283"/>
              <w:jc w:val="center"/>
              <w:rPr/>
            </w:pPr>
            <w:r>
              <w:rPr/>
              <w:t>WER ↓ (edits/words)</w:t>
            </w:r>
          </w:p>
        </w:tc>
        <w:tc>
          <w:tcPr>
            <w:tcW w:w="2862" w:type="dxa"/>
            <w:tcBorders/>
            <w:vAlign w:val="center"/>
          </w:tcPr>
          <w:p>
            <w:pPr>
              <w:pStyle w:val="TableHeading"/>
              <w:suppressLineNumbers/>
              <w:bidi w:val="0"/>
              <w:spacing w:before="0" w:after="283"/>
              <w:jc w:val="center"/>
              <w:rPr/>
            </w:pPr>
            <w:r>
              <w:rPr/>
              <w:t>CER ↓ (edits/characters)</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29.98% (164/547)</w:t>
            </w:r>
          </w:p>
        </w:tc>
        <w:tc>
          <w:tcPr>
            <w:tcW w:w="2862" w:type="dxa"/>
            <w:tcBorders/>
            <w:vAlign w:val="center"/>
          </w:tcPr>
          <w:p>
            <w:pPr>
              <w:pStyle w:val="TableContents"/>
              <w:bidi w:val="0"/>
              <w:spacing w:before="0" w:after="283"/>
              <w:rPr/>
            </w:pPr>
            <w:r>
              <w:rPr/>
              <w:t>20.32% (437/2151)</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31.44% (172/547)</w:t>
            </w:r>
          </w:p>
        </w:tc>
        <w:tc>
          <w:tcPr>
            <w:tcW w:w="2862" w:type="dxa"/>
            <w:tcBorders/>
            <w:vAlign w:val="center"/>
          </w:tcPr>
          <w:p>
            <w:pPr>
              <w:pStyle w:val="TableContents"/>
              <w:bidi w:val="0"/>
              <w:spacing w:before="0" w:after="283"/>
              <w:rPr/>
            </w:pPr>
            <w:r>
              <w:rPr/>
              <w:t>21.80% (469/2151)</w:t>
            </w:r>
          </w:p>
        </w:tc>
      </w:tr>
      <w:tr>
        <w:trPr/>
        <w:tc>
          <w:tcPr>
            <w:tcW w:w="3263" w:type="dxa"/>
            <w:tcBorders/>
            <w:vAlign w:val="center"/>
          </w:tcPr>
          <w:p>
            <w:pPr>
              <w:pStyle w:val="TableContents"/>
              <w:bidi w:val="0"/>
              <w:spacing w:before="0" w:after="283"/>
              <w:rPr/>
            </w:pPr>
            <w:r>
              <w:rPr/>
              <w:t>English historical (2 clips)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61.61% (268/435)</w:t>
            </w:r>
          </w:p>
        </w:tc>
        <w:tc>
          <w:tcPr>
            <w:tcW w:w="2862" w:type="dxa"/>
            <w:tcBorders/>
            <w:vAlign w:val="center"/>
          </w:tcPr>
          <w:p>
            <w:pPr>
              <w:pStyle w:val="TableContents"/>
              <w:bidi w:val="0"/>
              <w:spacing w:before="0" w:after="283"/>
              <w:rPr/>
            </w:pPr>
            <w:r>
              <w:rPr/>
              <w:t>46.97% (774/1648)</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50.96% (106/208)</w:t>
            </w:r>
          </w:p>
        </w:tc>
        <w:tc>
          <w:tcPr>
            <w:tcW w:w="2862" w:type="dxa"/>
            <w:tcBorders/>
            <w:vAlign w:val="center"/>
          </w:tcPr>
          <w:p>
            <w:pPr>
              <w:pStyle w:val="TableContents"/>
              <w:bidi w:val="0"/>
              <w:spacing w:before="0" w:after="283"/>
              <w:rPr/>
            </w:pPr>
            <w:r>
              <w:rPr/>
              <w:t>20.09% (173/861)</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37.02% (77/208)</w:t>
            </w:r>
          </w:p>
        </w:tc>
        <w:tc>
          <w:tcPr>
            <w:tcW w:w="2862" w:type="dxa"/>
            <w:tcBorders/>
            <w:vAlign w:val="center"/>
          </w:tcPr>
          <w:p>
            <w:pPr>
              <w:pStyle w:val="TableContents"/>
              <w:bidi w:val="0"/>
              <w:spacing w:before="0" w:after="283"/>
              <w:rPr/>
            </w:pPr>
            <w:r>
              <w:rPr/>
              <w:t>14.98% (129/861)</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66.13% (82/124)</w:t>
            </w:r>
          </w:p>
        </w:tc>
        <w:tc>
          <w:tcPr>
            <w:tcW w:w="2862" w:type="dxa"/>
            <w:tcBorders/>
            <w:vAlign w:val="center"/>
          </w:tcPr>
          <w:p>
            <w:pPr>
              <w:pStyle w:val="TableContents"/>
              <w:bidi w:val="0"/>
              <w:spacing w:before="0" w:after="283"/>
              <w:rPr/>
            </w:pPr>
            <w:r>
              <w:rPr/>
              <w:t>50.00% (267/534)</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57.26% (71/124)</w:t>
            </w:r>
          </w:p>
        </w:tc>
        <w:tc>
          <w:tcPr>
            <w:tcW w:w="2862" w:type="dxa"/>
            <w:tcBorders/>
            <w:vAlign w:val="center"/>
          </w:tcPr>
          <w:p>
            <w:pPr>
              <w:pStyle w:val="TableContents"/>
              <w:bidi w:val="0"/>
              <w:spacing w:before="0" w:after="283"/>
              <w:rPr/>
            </w:pPr>
            <w:r>
              <w:rPr/>
              <w:t>52.25% (279/534)</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28.15% (154/547)</w:t>
            </w:r>
          </w:p>
        </w:tc>
        <w:tc>
          <w:tcPr>
            <w:tcW w:w="2862" w:type="dxa"/>
            <w:tcBorders/>
            <w:vAlign w:val="center"/>
          </w:tcPr>
          <w:p>
            <w:pPr>
              <w:pStyle w:val="TableContents"/>
              <w:bidi w:val="0"/>
              <w:spacing w:before="0" w:after="283"/>
              <w:rPr/>
            </w:pPr>
            <w:r>
              <w:rPr/>
              <w:t>19.76% (425/2151)</w:t>
            </w:r>
          </w:p>
        </w:tc>
      </w:tr>
      <w:tr>
        <w:trPr/>
        <w:tc>
          <w:tcPr>
            <w:tcW w:w="3263" w:type="dxa"/>
            <w:tcBorders/>
            <w:vAlign w:val="center"/>
          </w:tcPr>
          <w:p>
            <w:pPr>
              <w:pStyle w:val="TableContents"/>
              <w:bidi w:val="0"/>
              <w:spacing w:before="0" w:after="283"/>
              <w:rPr/>
            </w:pPr>
            <w:r>
              <w:rPr/>
              <w:t>English historical (2 clips)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63.91% (278/435)</w:t>
            </w:r>
          </w:p>
        </w:tc>
        <w:tc>
          <w:tcPr>
            <w:tcW w:w="2862" w:type="dxa"/>
            <w:tcBorders/>
            <w:vAlign w:val="center"/>
          </w:tcPr>
          <w:p>
            <w:pPr>
              <w:pStyle w:val="TableContents"/>
              <w:bidi w:val="0"/>
              <w:spacing w:before="0" w:after="283"/>
              <w:rPr/>
            </w:pPr>
            <w:r>
              <w:rPr/>
              <w:t>53.52% (882/1648)</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28.85% (60/208)</w:t>
            </w:r>
          </w:p>
        </w:tc>
        <w:tc>
          <w:tcPr>
            <w:tcW w:w="2862" w:type="dxa"/>
            <w:tcBorders/>
            <w:vAlign w:val="center"/>
          </w:tcPr>
          <w:p>
            <w:pPr>
              <w:pStyle w:val="TableContents"/>
              <w:bidi w:val="0"/>
              <w:spacing w:before="0" w:after="283"/>
              <w:rPr/>
            </w:pPr>
            <w:r>
              <w:rPr/>
              <w:t>9.41% (81/861)</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57.26% (71/124)</w:t>
            </w:r>
          </w:p>
        </w:tc>
        <w:tc>
          <w:tcPr>
            <w:tcW w:w="2862" w:type="dxa"/>
            <w:tcBorders/>
            <w:vAlign w:val="center"/>
          </w:tcPr>
          <w:p>
            <w:pPr>
              <w:pStyle w:val="TableContents"/>
              <w:bidi w:val="0"/>
              <w:spacing w:before="0" w:after="283"/>
              <w:rPr/>
            </w:pPr>
            <w:r>
              <w:rPr/>
              <w:t>48.31% (258/534)</w:t>
            </w:r>
          </w:p>
        </w:tc>
      </w:tr>
    </w:tbl>
    <w:p>
      <w:pPr>
        <w:pStyle w:val="BodyText"/>
        <w:bidi w:val="0"/>
        <w:rPr/>
      </w:pPr>
      <w:r>
        <w:rPr/>
        <w:t xml:space="preserve">The shared-default eligibility gate requires no regression in both English-development WER/CER and both Hindi/Hinglish WER/CER versus small. Turbo passes this development/pilot gate: </w:t>
      </w:r>
      <w:r>
        <w:rPr>
          <w:rStyle w:val="Strong"/>
        </w:rPr>
        <w:t>True</w:t>
      </w:r>
      <w:r>
        <w:rPr/>
        <w:t xml:space="preserve">. The installed default is </w:t>
      </w:r>
      <w:r>
        <w:rPr>
          <w:rStyle w:val="Strong"/>
        </w:rPr>
        <w:t>small</w:t>
      </w:r>
      <w:r>
        <w:rPr/>
        <w:t>. Historical English WER regressed; retain small as the shared default and expose turbo as an optional model. Historical English WER changes from 61.61% to 63.91%. This regression is retained and prevents a universal upgrade claim. No alternative configuration was selected from historical results. Medium did not improve English development. All models used local CPU int8 inference, automatic language selection constrained by the existing English/Hindi configuration, the same beam setting, and unchanged reference normalization/boundaries. Historical-small CER is calculated from its saved unchanged transcript/reference, without rerunning recognition. No reference hints, reference edits or sample removals were used. Historical English scores remain exploratory; the TS3007d uncovered reference prefix stays included. The two English development excerpts and eight examples per Indic corpus are small, correlated pilots, not a full benchmark. Wall times include initialization/concurrent work and do not support a speed claim. Larger cached models require more memory/storage; physical-phone performance is unmeasured.</w:t>
      </w:r>
    </w:p>
    <w:p>
      <w:pPr>
        <w:pStyle w:val="BodyText"/>
        <w:bidi w:val="0"/>
        <w:rPr/>
      </w:pPr>
      <w:r>
        <w:rPr/>
        <w:t xml:space="preserve">Turbo weights are pinned by revision and SHA-256 in </w:t>
      </w:r>
      <w:r>
        <w:rPr>
          <w:rStyle w:val="SourceText"/>
        </w:rPr>
        <w:t>evaluation/turbo_quality/protocol.json</w:t>
      </w:r>
      <w:r>
        <w:rPr/>
        <w:t xml:space="preserve">. Sources: </w:t>
      </w:r>
      <w:hyperlink r:id="rId2">
        <w:r>
          <w:rPr>
            <w:rStyle w:val="Hyperlink"/>
          </w:rPr>
          <w:t>OpenAI model card</w:t>
        </w:r>
      </w:hyperlink>
      <w:r>
        <w:rPr/>
        <w:t xml:space="preserve">, </w:t>
      </w:r>
      <w:hyperlink r:id="rId3">
        <w:r>
          <w:rPr>
            <w:rStyle w:val="Hyperlink"/>
          </w:rPr>
          <w:t>converted model card</w:t>
        </w:r>
      </w:hyperlink>
      <w:r>
        <w:rPr/>
        <w:t xml:space="preserve">. Existing reports retain their original outputs; reanalyse a recording to use a changed default. </w:t>
      </w:r>
      <w:r>
        <w:rPr>
          <w:rStyle w:val="SourceText"/>
        </w:rPr>
        <w:t>MAI_ASR_MODEL</w:t>
      </w:r>
      <w:r>
        <w:rPr/>
        <w:t xml:space="preserve"> and per-recording choices override the default. Provisioning on another machine uses </w:t>
      </w:r>
      <w:r>
        <w:rPr>
          <w:rStyle w:val="SourceText"/>
        </w:rPr>
        <w:t>scripts/download_models.py --asr-model large-v3-turbo</w:t>
      </w:r>
      <w:r>
        <w:rPr/>
        <w:t>.</w:t>
      </w:r>
    </w:p>
    <w:p>
      <w:pPr>
        <w:pStyle w:val="Heading2"/>
        <w:bidi w:val="0"/>
        <w:rPr/>
      </w:pPr>
      <w:r>
        <w:rPr/>
        <w:t>Other project metrics and missing ground truth</w:t>
      </w:r>
    </w:p>
    <w:p>
      <w:pPr>
        <w:pStyle w:val="BodyText"/>
        <w:bidi w:val="0"/>
        <w:rPr/>
      </w:pPr>
      <w:r>
        <w:rPr/>
        <w:t>The earlier custom two-excerpt audio pilot, unchanged in this round, has DER 40.91%, JER 60.45%, speech precision 81.70%, recall 90.73%, F1 85.98% and speaker-count MAE 1.50. These are separate tasks with different denominators; they cannot be averaged into an overall accuracy. Reference-coverage and overlap limits in the original evaluation still apply.</w:t>
      </w:r>
    </w:p>
    <w:p>
      <w:pPr>
        <w:pStyle w:val="BodyText"/>
        <w:bidi w:val="0"/>
        <w:rPr/>
      </w:pPr>
      <w:r>
        <w:rPr/>
        <w:t>No independent labels currently establish event-type accuracy, final-decision accuracy, slide-link accuracy or influence-ranking accuracy. A fresh meeting-level test with independent annotations is required before claiming general superiority or complete application accuracy. Repeated development and historical inspection mean the current results are exploratory.</w:t>
      </w:r>
    </w:p>
    <w:p>
      <w:pPr>
        <w:pStyle w:val="Heading2"/>
        <w:bidi w:val="0"/>
        <w:rPr/>
      </w:pPr>
      <w:r>
        <w:rPr/>
        <w:t>Artifacts and reproduction</w:t>
      </w:r>
    </w:p>
    <w:p>
      <w:pPr>
        <w:pStyle w:val="BodyText"/>
        <w:bidi w:val="0"/>
        <w:rPr/>
      </w:pPr>
      <w:r>
        <w:rPr>
          <w:rStyle w:val="SourceText"/>
        </w:rPr>
        <w:t>evaluation/quality_scorecard/summary.json</w:t>
      </w:r>
      <w:r>
        <w:rPr/>
        <w:t xml:space="preserve"> and </w:t>
      </w:r>
      <w:r>
        <w:rPr>
          <w:rStyle w:val="SourceText"/>
        </w:rPr>
        <w:t>metrics.csv</w:t>
      </w:r>
      <w:r>
        <w:rPr/>
        <w:t xml:space="preserve"> contain unrounded values and denominators; </w:t>
      </w:r>
      <w:r>
        <w:rPr>
          <w:rStyle w:val="SourceText"/>
        </w:rPr>
        <w:t>sources.json</w:t>
      </w:r>
      <w:r>
        <w:rPr/>
        <w:t xml:space="preserve"> pins source summaries. Individual protocols, selections, all alternatives and raw transcripts are under </w:t>
      </w:r>
      <w:r>
        <w:rPr>
          <w:rStyle w:val="SourceText"/>
        </w:rPr>
        <w:t>evaluation/{semantic_quality,sequence_quality,ensemble_quality,refit_quality,asr_quality,turbo_quality}/</w:t>
      </w:r>
      <w:r>
        <w:rPr/>
        <w:t xml:space="preserve">. Research model/cache artifacts remain under </w:t>
      </w:r>
      <w:r>
        <w:rPr>
          <w:rStyle w:val="SourceText"/>
        </w:rPr>
        <w:t>.runtime/</w:t>
      </w:r>
      <w:r>
        <w:rPr/>
        <w:t xml:space="preserve">; the installed discussion model remains </w:t>
      </w:r>
      <w:r>
        <w:rPr>
          <w:rStyle w:val="SourceText"/>
        </w:rPr>
        <w:t>models/discussion/model.joblib</w:t>
      </w:r>
      <w:r>
        <w:rPr/>
        <w:t xml:space="preserve"> with its existing provenance manifest.</w:t>
      </w:r>
    </w:p>
    <w:p>
      <w:pPr>
        <w:pStyle w:val="PreformattedText"/>
        <w:bidi w:val="0"/>
        <w:rPr/>
      </w:pPr>
      <w:r>
        <w:rPr>
          <w:rStyle w:val="SourceText"/>
        </w:rPr>
        <w:t>OPENBLAS_NUM_THREADS=2 OMP_NUM_THREADS=2 .venv/bin/python scripts/evaluate_turbo_quality.py</w:t>
      </w:r>
    </w:p>
    <w:p>
      <w:pPr>
        <w:pStyle w:val="PreformattedText"/>
        <w:bidi w:val="0"/>
        <w:rPr/>
      </w:pPr>
      <w:r>
        <w:rPr>
          <w:rStyle w:val="SourceText"/>
        </w:rPr>
        <w:t>OPENBLAS_NUM_THREADS=2 OMP_NUM_THREADS=2 .venv/bin/python scripts/report_quality_improvements.py</w:t>
      </w:r>
    </w:p>
    <w:p>
      <w:pPr>
        <w:pStyle w:val="PreformattedText"/>
        <w:bidi w:val="0"/>
        <w:spacing w:before="0" w:after="283"/>
        <w:rPr/>
      </w:pPr>
      <w:r>
        <w:rPr>
          <w:rStyle w:val="SourceText"/>
        </w:rPr>
        <w:t>MPLCONFIGDIR=/tmp/influenceiq-mpl .venv/bin/python scripts/build_research_documents.py</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Noto Sans Mono" w:hAnsi="Noto Sans Mono" w:eastAsia="Noto Sans Mono" w:cs="Noto Sans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openai/whisper-large-v3-turbo" TargetMode="External"/><Relationship Id="rId3" Type="http://schemas.openxmlformats.org/officeDocument/2006/relationships/hyperlink" Target="https://huggingface.co/dropbox-dash/faster-whisper-large-v3-turbo"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