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Plan for a stronger, defensible submission</w:t>
      </w:r>
    </w:p>
    <w:p>
      <w:pPr>
        <w:pStyle w:val="Heading2"/>
        <w:bidi w:val="0"/>
        <w:rPr/>
      </w:pPr>
      <w:r>
        <w:rPr/>
        <w:t>The decision</w:t>
      </w:r>
    </w:p>
    <w:p>
      <w:pPr>
        <w:pStyle w:val="BodyText"/>
        <w:bidi w:val="0"/>
        <w:rPr/>
      </w:pPr>
      <w:r>
        <w:rPr/>
        <w:t xml:space="preserve">Focus the paper on </w:t>
      </w:r>
      <w:r>
        <w:rPr>
          <w:rStyle w:val="Strong"/>
        </w:rPr>
        <w:t>offline decision-discussion detection and evidence review</w:t>
      </w:r>
      <w:r>
        <w:rPr/>
        <w:t>, with measured runtime and memory. Keep broad participant influence as exploratory. The current study does not support a new accurate influence model or state-of-the-art speech recognition. A stronger paper needs a precise contribution and independent evidence, not a larger set of plots.</w:t>
      </w:r>
    </w:p>
    <w:p>
      <w:pPr>
        <w:pStyle w:val="BodyText"/>
        <w:bidi w:val="0"/>
        <w:rPr/>
      </w:pPr>
      <w:r>
        <w:rPr/>
        <w:t xml:space="preserve">Suggested working title: </w:t>
      </w:r>
      <w:r>
        <w:rPr>
          <w:rStyle w:val="Strong"/>
        </w:rPr>
        <w:t>Offline Decision-Discussion Detection and Evidence Review for Meeting Recordings</w:t>
      </w:r>
      <w:r>
        <w:rPr/>
        <w:t>. This is a scope recommendation; the application can retain its broader functionality.</w:t>
      </w:r>
    </w:p>
    <w:p>
      <w:pPr>
        <w:pStyle w:val="Heading2"/>
        <w:bidi w:val="0"/>
        <w:rPr/>
      </w:pPr>
      <w:r>
        <w:rPr/>
        <w:t>Continued development update</w:t>
      </w:r>
    </w:p>
    <w:p>
      <w:pPr>
        <w:pStyle w:val="BodyText"/>
        <w:bidi w:val="0"/>
        <w:rPr/>
      </w:pPr>
      <w:r>
        <w:rPr/>
        <w:t xml:space="preserve">The latest extension in </w:t>
      </w:r>
      <w:r>
        <w:rPr>
          <w:rStyle w:val="SourceText"/>
        </w:rPr>
        <w:t>PIPELINE_IMPROVEMENTS.md</w:t>
      </w:r>
      <w:r>
        <w:rPr/>
        <w:t xml:space="preserve"> combines forest/linear scores at a development-selected 75:25 ratio. Historical F1 is 53.54%, precision 39.94%, recall 81.18% and AP 53.40%. The selected model is now installed locally for English discussion-review suggestions, with transcript/audio traceability in the app and exports. This does not establish recording-level accuracy or turn discussion suggestions into final decisions. Previous experiment results below remain preserved.</w:t>
      </w:r>
    </w:p>
    <w:p>
      <w:pPr>
        <w:pStyle w:val="BodyText"/>
        <w:bidi w:val="0"/>
        <w:rPr/>
      </w:pPr>
      <w:r>
        <w:rPr/>
        <w:t xml:space="preserve">The preceding matched comparison in </w:t>
      </w:r>
      <w:r>
        <w:rPr>
          <w:rStyle w:val="SourceText"/>
        </w:rPr>
        <w:t>CLASSIFIER_COMPARISON.md</w:t>
      </w:r>
      <w:r>
        <w:rPr/>
        <w:t xml:space="preserve"> trains four classifier families with current-act and context-40 features. Random forest with context was selected on development before historical evaluation and scores 52.08% historical F1, compared with 50.60% for matched context logistic regression, 50.48% for context SVM and 47.12% for context Complement Naive Bayes. All eight pipelines are reported. That study's primary model has 39.38% precision and 76.86% recall; its average precision is 41.95%, below the frozen v2 reference's 56.99%. This is a task-specific F1 result with a recall/ranking trade-off, not evidence of complete-system superiority. The original v2 model remains preserved; the separately reported later extension packages components for review.</w:t>
      </w:r>
    </w:p>
    <w:p>
      <w:pPr>
        <w:pStyle w:val="BodyText"/>
        <w:bidi w:val="0"/>
        <w:rPr/>
      </w:pPr>
      <w:r>
        <w:rPr/>
        <w:t xml:space="preserve">The context/smoothing search in </w:t>
      </w:r>
      <w:r>
        <w:rPr>
          <w:rStyle w:val="SourceText"/>
        </w:rPr>
        <w:t>DECISION_DISCUSSION_IMPROVEMENTS.md</w:t>
      </w:r>
      <w:r>
        <w:rPr/>
        <w:t xml:space="preserve"> now raises historical-cohort F1 from 42.35% to 49.51%, precision from 28.18% to 34.13%, and recall from 85.17% to 90.12% for the configuration frozen on development. False positives fall from 5,384 to 4,315. A separately dev-selected precision operating point scores 51.69% F1 with 37.47% precision and 83.31% recall. The no-smoothing ablation scores 50.04% F1, so smoothing does not help the primary model on this historical cohort. All variants and negative results are preserved.</w:t>
      </w:r>
    </w:p>
    <w:p>
      <w:pPr>
        <w:pStyle w:val="BodyText"/>
        <w:bidi w:val="0"/>
        <w:rPr/>
      </w:pPr>
      <w:r>
        <w:rPr/>
        <w:t>This is continued development on the previously examined cohort, not a new confirmatory test. Oracle reference transcripts/act boundaries and the lack of an independent final cohort still limit the claim. The original pilot below is preserved; production decision rules are unchanged.</w:t>
      </w:r>
    </w:p>
    <w:p>
      <w:pPr>
        <w:pStyle w:val="Heading2"/>
        <w:bidi w:val="0"/>
        <w:rPr/>
      </w:pPr>
      <w:r>
        <w:rPr/>
        <w:t>Initial supervised pilot (preserved)</w:t>
      </w:r>
    </w:p>
    <w:p>
      <w:pPr>
        <w:pStyle w:val="BodyText"/>
        <w:bidi w:val="0"/>
        <w:rPr/>
      </w:pPr>
      <w:r>
        <w:rPr/>
        <w:t>Independent manual decision-span annotations were found for 47 AMI meetings. A research-only, non-generative linear NLP experiment was run using 29 training meetings, six development meetings and 12 test meetings separated by project series. Current-act words, character n-grams and neighbouring context were compared. The test cohort has only three independent series, not 12 independent participant groups. No model was installed into the application at that initial stage.</w:t>
      </w:r>
    </w:p>
    <w:p>
      <w:pPr>
        <w:pStyle w:val="BodyText"/>
        <w:bidi w:val="0"/>
        <w:rPr/>
      </w:pPr>
      <w:r>
        <w:rPr/>
        <w:t xml:space="preserve">The outcome is </w:t>
      </w:r>
      <w:r>
        <w:rPr>
          <w:rStyle w:val="Strong"/>
        </w:rPr>
        <w:t>discussion membership</w:t>
      </w:r>
      <w:r>
        <w:rPr/>
        <w:t>, using human transcript/act boundaries. It is not final-decision extraction or influence ranking. That distinction must remain explicit.</w:t>
      </w:r>
    </w:p>
    <w:tbl>
      <w:tblPr>
        <w:tblW w:w="69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37"/>
        <w:gridCol w:w="1702"/>
        <w:gridCol w:w="1296"/>
        <w:gridCol w:w="949"/>
      </w:tblGrid>
      <w:tr>
        <w:trPr>
          <w:tblHeader w:val="true"/>
        </w:trPr>
        <w:tc>
          <w:tcPr>
            <w:tcW w:w="30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Method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Test precision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Test recall</w:t>
            </w:r>
          </w:p>
        </w:tc>
        <w:tc>
          <w:tcPr>
            <w:tcW w:w="94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Test F1</w:t>
            </w:r>
          </w:p>
        </w:tc>
      </w:tr>
      <w:tr>
        <w:trPr/>
        <w:tc>
          <w:tcPr>
            <w:tcW w:w="30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Always positive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22.28%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100.00%</w:t>
            </w:r>
          </w:p>
        </w:tc>
        <w:tc>
          <w:tcPr>
            <w:tcW w:w="9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36.44%</w:t>
            </w:r>
          </w:p>
        </w:tc>
      </w:tr>
      <w:tr>
        <w:trPr/>
        <w:tc>
          <w:tcPr>
            <w:tcW w:w="30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Word TF-IDF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23.69%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93.87%</w:t>
            </w:r>
          </w:p>
        </w:tc>
        <w:tc>
          <w:tcPr>
            <w:tcW w:w="9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37.83%</w:t>
            </w:r>
          </w:p>
        </w:tc>
      </w:tr>
      <w:tr>
        <w:trPr/>
        <w:tc>
          <w:tcPr>
            <w:tcW w:w="30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Word + character TF-IDF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24.28%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91.29%</w:t>
            </w:r>
          </w:p>
        </w:tc>
        <w:tc>
          <w:tcPr>
            <w:tcW w:w="9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38.36%</w:t>
            </w:r>
          </w:p>
        </w:tc>
      </w:tr>
      <w:tr>
        <w:trPr/>
        <w:tc>
          <w:tcPr>
            <w:tcW w:w="30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Word + character + context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28.18%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85.17%</w:t>
            </w:r>
          </w:p>
        </w:tc>
        <w:tc>
          <w:tcPr>
            <w:tcW w:w="9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42.35%</w:t>
            </w:r>
          </w:p>
        </w:tc>
      </w:tr>
    </w:tbl>
    <w:p>
      <w:pPr>
        <w:pStyle w:val="BodyText"/>
        <w:bidi w:val="0"/>
        <w:rPr/>
      </w:pPr>
      <w:r>
        <w:rPr/>
        <w:t>Context adds 4.52 F1 percentage points over word-only, but false positives remain too frequent. Beating the application's explicit-decision rule on this broader task is not enough: the stronger lexical baselines are the relevant comparison. These results are a useful starting point, not a promised publication-quality outcome.</w:t>
      </w:r>
    </w:p>
    <w:p>
      <w:pPr>
        <w:pStyle w:val="BodyText"/>
        <w:bidi w:val="0"/>
        <w:rPr/>
      </w:pPr>
      <w:r>
        <w:rPr/>
        <w:t xml:space="preserve">See </w:t>
      </w:r>
      <w:r>
        <w:rPr>
          <w:rStyle w:val="SourceText"/>
        </w:rPr>
        <w:t>DECISION_DISCUSSION_EXPERIMENT.md</w:t>
      </w:r>
      <w:r>
        <w:rPr/>
        <w:t>, its protocol, per-meeting scores and confusion matrices. Small supervised NLP training is useful here; speech-model fine-tuning and a generative LLM are not required for this experiment.</w:t>
      </w:r>
    </w:p>
    <w:p>
      <w:pPr>
        <w:pStyle w:val="Heading2"/>
        <w:bidi w:val="0"/>
        <w:rPr/>
      </w:pPr>
      <w:r>
        <w:rPr/>
        <w:t>1. Fix the evaluation foundation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Keep the old audio pilot and coverage audit as exploratory evidence. Pin a published AMI word-derived RTTM/UEM recipe and development/test split for new audio claims.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Audit the TS3007d prefix before interpreting its scores. Do not trim it simply to improve numbers.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Use a larger, independent Hindi/Hinglish cohort, with frozen script/normalisation conventions. Keep strict WER/CER; any variant-aware score needs independently defined rules.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Retain source hashes, exact configuration, split membership, raw predictions and errors. Do not select the best test result across repeated model changes. </w:t>
      </w:r>
    </w:p>
    <w:p>
      <w:pPr>
        <w:pStyle w:val="BodyText"/>
        <w:bidi w:val="0"/>
        <w:rPr/>
      </w:pPr>
      <w:r>
        <w:rPr/>
        <w:t>Deliverable: a reproducible benchmark protocol with unambiguous task and primary metric.</w:t>
      </w:r>
    </w:p>
    <w:p>
      <w:pPr>
        <w:pStyle w:val="Heading2"/>
        <w:bidi w:val="0"/>
        <w:rPr/>
      </w:pPr>
      <w:r>
        <w:rPr/>
        <w:t>2. Improve the actual NLP failure</w:t>
      </w:r>
    </w:p>
    <w:p>
      <w:pPr>
        <w:pStyle w:val="BodyText"/>
        <w:bidi w:val="0"/>
        <w:rPr/>
      </w:pPr>
      <w:r>
        <w:rPr/>
        <w:t xml:space="preserve">The new classifier's main error is false positives. Review false positives and false negatives on </w:t>
      </w:r>
      <w:r>
        <w:rPr>
          <w:rStyle w:val="Strong"/>
        </w:rPr>
        <w:t>training/development only</w:t>
      </w:r>
      <w:r>
        <w:rPr/>
        <w:t>. Separate actual decision discussion from agenda statements, hypothetical suggestions, routine backchannels and unrelated technical explanation. Review whether outside-span negatives are fully annotated.</w:t>
      </w:r>
    </w:p>
    <w:p>
      <w:pPr>
        <w:pStyle w:val="BodyText"/>
        <w:bidi w:val="0"/>
        <w:rPr/>
      </w:pPr>
      <w:r>
        <w:rPr/>
        <w:t>Candidate improvements are a local utterance classifier plus discussion continuity, context features, precision-oriented threshold selection on development, and explicit handling of negation/conditional or reported decisions. A conventional linear classifier or small discriminative model remains fully offline and non-generative. Do not assume these changes improve results until measured.</w:t>
      </w:r>
    </w:p>
    <w:p>
      <w:pPr>
        <w:pStyle w:val="BodyText"/>
        <w:bidi w:val="0"/>
        <w:rPr/>
      </w:pPr>
      <w:r>
        <w:rPr/>
        <w:t>The current test results have now been examined. Further work on this same split must be labelled continued development; reserve fresh independent meetings/annotations for final confirmation. Do not re-label test examples or silently choose a new easier cohort.</w:t>
      </w:r>
    </w:p>
    <w:p>
      <w:pPr>
        <w:pStyle w:val="BodyText"/>
        <w:bidi w:val="0"/>
        <w:rPr/>
      </w:pPr>
      <w:r>
        <w:rPr/>
        <w:t>Deliverable: higher task precision/F1 on a justified independent final test, compared with always-positive, lexical and current-rule baselines. No numerical improvement is guaranteed.</w:t>
      </w:r>
    </w:p>
    <w:p>
      <w:pPr>
        <w:pStyle w:val="Heading2"/>
        <w:bidi w:val="0"/>
        <w:rPr/>
      </w:pPr>
      <w:r>
        <w:rPr/>
        <w:t>3. Separate transcript NLP from end-to-end audio</w:t>
      </w:r>
    </w:p>
    <w:p>
      <w:pPr>
        <w:pStyle w:val="BodyText"/>
        <w:bidi w:val="0"/>
        <w:rPr/>
      </w:pPr>
      <w:r>
        <w:rPr/>
        <w:t>Run three conditions using the same reference outcomes: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Human transcript and verified speakers: isolates NLP quality.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Recognised transcript with verified speakers: estimates ASR error propagation.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Recognised transcript and automatic speakers: measures complete-system degradation. </w:t>
      </w:r>
    </w:p>
    <w:p>
      <w:pPr>
        <w:pStyle w:val="BodyText"/>
        <w:bidi w:val="0"/>
        <w:rPr/>
      </w:pPr>
      <w:r>
        <w:rPr/>
        <w:t>Oracle dialogue-act boundaries in the new pilot must be replaced or independently evaluated before claiming recording-level performance. Report human-transcript results as an upper-bound input condition, not app accuracy.</w:t>
      </w:r>
    </w:p>
    <w:p>
      <w:pPr>
        <w:pStyle w:val="BodyText"/>
        <w:bidi w:val="0"/>
        <w:rPr/>
      </w:pPr>
      <w:r>
        <w:rPr/>
        <w:t>Deliverable: a table explaining where errors enter the system. This is more informative than many overlapping audio charts.</w:t>
      </w:r>
    </w:p>
    <w:p>
      <w:pPr>
        <w:pStyle w:val="Heading2"/>
        <w:bidi w:val="0"/>
        <w:rPr/>
      </w:pPr>
      <w:r>
        <w:rPr/>
        <w:t>4. Use informative ablations</w:t>
      </w:r>
    </w:p>
    <w:p>
      <w:pPr>
        <w:pStyle w:val="BodyText"/>
        <w:bidi w:val="0"/>
        <w:rPr/>
      </w:pPr>
      <w:r>
        <w:rPr/>
        <w:t>For discussion detection: word-only, character-only, word+character, and word+character+context, each retrained on the same training data and selected only on development. These components are active, and outcomes have independent labels.</w:t>
      </w:r>
    </w:p>
    <w:p>
      <w:pPr>
        <w:pStyle w:val="BodyText"/>
        <w:bidi w:val="0"/>
        <w:rPr/>
      </w:pPr>
      <w:r>
        <w:rPr/>
        <w:t>For the broader project: include PPT only after collecting real slide timestamps and reference links. Compare outcomes with/without presentation evidence on examples that actually require it. Evaluate evidence and decision accuracy directly. Include negative results.</w:t>
      </w:r>
    </w:p>
    <w:p>
      <w:pPr>
        <w:pStyle w:val="BodyText"/>
        <w:bidi w:val="0"/>
        <w:rPr/>
      </w:pPr>
      <w:r>
        <w:rPr/>
        <w:t>For influence: the old example reduces exactly to decision-event counting. Do not claim a richer model until labelled examples activate the additional features and independent human rankings establish benefit. Avoid normalised score movement as a substitute for ranking accuracy.</w:t>
      </w:r>
    </w:p>
    <w:p>
      <w:pPr>
        <w:pStyle w:val="BodyText"/>
        <w:bidi w:val="0"/>
        <w:rPr/>
      </w:pPr>
      <w:r>
        <w:rPr/>
        <w:t>Deliverable: one main ablation table tied to a reference outcome. Move algebraic/no-signal diagnostics to a supplement.</w:t>
      </w:r>
    </w:p>
    <w:p>
      <w:pPr>
        <w:pStyle w:val="Heading2"/>
        <w:bidi w:val="0"/>
        <w:rPr/>
      </w:pPr>
      <w:r>
        <w:rPr/>
        <w:t>5. Measure the engineering contribution properly</w:t>
      </w:r>
    </w:p>
    <w:p>
      <w:pPr>
        <w:pStyle w:val="BodyText"/>
        <w:bidi w:val="0"/>
        <w:rPr/>
      </w:pPr>
      <w:r>
        <w:rPr/>
        <w:t>Measure on the same laptop with competing inference jobs stopped: cold and warm model loading, ASR runtime, diarization runtime, total pipeline runtime, RTF and peak RSS. Compare full re-decoding versus reuse of saved word observations for the same speaker correction. State precisely which stages are included.</w:t>
      </w:r>
    </w:p>
    <w:p>
      <w:pPr>
        <w:pStyle w:val="BodyText"/>
        <w:bidi w:val="0"/>
        <w:rPr/>
      </w:pPr>
      <w:r>
        <w:rPr/>
        <w:t>If memory/latency improve without degrading text, this supports a systems result even when recognition is inherited from pretrained models. Do not apply an ASR cache speedup to the whole pipeline or claim Android results from laptop timings. Phone heat/battery/long-recording recovery require physical tests.</w:t>
      </w:r>
    </w:p>
    <w:p>
      <w:pPr>
        <w:pStyle w:val="BodyText"/>
        <w:bidi w:val="0"/>
        <w:rPr/>
      </w:pPr>
      <w:r>
        <w:rPr/>
        <w:t>Deliverable: one controlled efficiency chart and one quality/efficiency trade-off table.</w:t>
      </w:r>
    </w:p>
    <w:p>
      <w:pPr>
        <w:pStyle w:val="Heading2"/>
        <w:bidi w:val="0"/>
        <w:rPr/>
      </w:pPr>
      <w:r>
        <w:rPr/>
        <w:t>6. Rewrite around the evidence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Introduction: one concrete problem, one research question and a bounded contribution.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Methods: explain data, split, labels, model, context, evidence trace and local execution. Match equations to the implemented features.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Results: primary decision-discussion comparison, one genuine ablation, end-to-end error propagation, controlled efficiency. Include uncertainty at the independent project/session level.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Discussion: identify actual limits and failed hypotheses. Do not make broad influence, Hindi/Hinglish or on-device accuracy claims from the English oracle-input experiment.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Related work: compare full meeting systems separately from ASR/diarization components and datasets.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Supplement: preserve old exploratory numbers, reference-coverage sensitivity and per-sample diagnostics. </w:t>
      </w:r>
    </w:p>
    <w:p>
      <w:pPr>
        <w:pStyle w:val="BodyText"/>
        <w:bidi w:val="0"/>
        <w:rPr/>
      </w:pPr>
      <w:r>
        <w:rPr/>
        <w:t>The paper should contain fewer, more informative figures. All author details and submission declarations need human review. A deadline does not establish the missing evidence; if those studies cannot be finished, narrow the submission's claims and choose an appropriate venue with the professor.</w:t>
      </w:r>
    </w:p>
    <w:p>
      <w:pPr>
        <w:pStyle w:val="Heading2"/>
        <w:bidi w:val="0"/>
        <w:rPr/>
      </w:pPr>
      <w:r>
        <w:rPr/>
        <w:t>Immediate deliverables already available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evaluation/decision_discussion/protocol.json</w:t>
      </w:r>
      <w:r>
        <w:rPr/>
        <w:t xml:space="preserve">: fixed task, group split and model-selection rule.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evaluation/decision_discussion/summary.json</w:t>
      </w:r>
      <w:r>
        <w:rPr/>
        <w:t xml:space="preserve">: results, per-meeting confusion counts and source hashes.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evaluation/decision_discussion/comparison.csv</w:t>
      </w:r>
      <w:r>
        <w:rPr/>
        <w:t xml:space="preserve">: baseline/model comparison.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DECISION_DISCUSSION_EXPERIMENT.md</w:t>
      </w:r>
      <w:r>
        <w:rPr/>
        <w:t xml:space="preserve">: methods, results and limitations.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RESEARCH_VALIDITY_REVIEW.md</w:t>
      </w:r>
      <w:r>
        <w:rPr/>
        <w:t xml:space="preserve">: reasons the previous paper was weak. </w:t>
      </w:r>
    </w:p>
    <w:p>
      <w:pPr>
        <w:pStyle w:val="BodyText"/>
        <w:bidi w:val="0"/>
        <w:spacing w:before="0" w:after="283"/>
        <w:rPr/>
      </w:pPr>
      <w:r>
        <w:rPr/>
        <w:t>No new speech-model download or cloud processing was needed. The main remaining dependency is valid independent evaluation data and targeted improvement, rather than additional installations.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Noto Sans Mono"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erif" w:cs="Liberation 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before="200" w:after="120"/>
      <w:outlineLvl w:val="1"/>
    </w:pPr>
    <w:rPr>
      <w:rFonts w:ascii="Noto Serif" w:hAnsi="Noto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Noto Serif" w:hAnsi="Noto Serif" w:eastAsia="Noto Sans" w:cs="Free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Noto Sans Mono" w:hAnsi="Noto Sans Mono" w:eastAsia="Noto Sans Mono" w:cs="Noto Sans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" w:cs="Noto Sans Mono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