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4" w:lineRule="exact" w:before="58" w:after="0"/>
        <w:ind w:left="360" w:right="46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CHAPTER I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INTRODUCTION TO THE COURSE</w:t>
      </w:r>
    </w:p>
    <w:p>
      <w:pPr>
        <w:autoSpaceDN w:val="0"/>
        <w:autoSpaceDE w:val="0"/>
        <w:widowControl/>
        <w:spacing w:line="240" w:lineRule="auto" w:before="44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95900" cy="3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0" w:lineRule="exact" w:before="302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REPUBLIC ACT 1425</w:t>
      </w:r>
    </w:p>
    <w:p>
      <w:pPr>
        <w:autoSpaceDN w:val="0"/>
        <w:autoSpaceDE w:val="0"/>
        <w:widowControl/>
        <w:spacing w:line="274" w:lineRule="exact" w:before="350" w:after="0"/>
        <w:ind w:left="3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 Republic Act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is a piece of legislation used to create policy to carry out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 of the Constitution. It is crafted and passed by the Congress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Philippines and approved by the President of the Philippines. It can only be repealed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a similar act of Congress.</w:t>
      </w:r>
    </w:p>
    <w:p>
      <w:pPr>
        <w:autoSpaceDN w:val="0"/>
        <w:autoSpaceDE w:val="0"/>
        <w:widowControl/>
        <w:spacing w:line="270" w:lineRule="exact" w:before="290" w:after="0"/>
        <w:ind w:left="360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Unexpurgated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– (of a text) complete and containing all the original material;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uncensored.</w:t>
      </w:r>
    </w:p>
    <w:p>
      <w:pPr>
        <w:autoSpaceDN w:val="0"/>
        <w:autoSpaceDE w:val="0"/>
        <w:widowControl/>
        <w:spacing w:line="274" w:lineRule="exact" w:before="286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law,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"construed"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means to interpret the meaning of a written document, such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statute, regulation, or court decision. It involves analyzing the language and context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document to understand its legal implications.</w:t>
      </w:r>
    </w:p>
    <w:p>
      <w:pPr>
        <w:autoSpaceDN w:val="0"/>
        <w:autoSpaceDE w:val="0"/>
        <w:widowControl/>
        <w:spacing w:line="240" w:lineRule="auto" w:before="44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9590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0" w:lineRule="exact" w:before="306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AN ACT TO INCLUDE IN THE CURRICULA OF ALL PUBLIC AND PRIVATE</w:t>
      </w:r>
    </w:p>
    <w:p>
      <w:pPr>
        <w:autoSpaceDN w:val="0"/>
        <w:autoSpaceDE w:val="0"/>
        <w:widowControl/>
        <w:spacing w:line="270" w:lineRule="exact" w:before="8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SCHOOLS, COLLEGES, AND UNIVERSITIES COURSES ON THE LIFE,</w:t>
      </w:r>
    </w:p>
    <w:p>
      <w:pPr>
        <w:autoSpaceDN w:val="0"/>
        <w:autoSpaceDE w:val="0"/>
        <w:widowControl/>
        <w:spacing w:line="268" w:lineRule="exact" w:before="82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WORKS, AND WRITINGS OF JOSE RIZAL, PARTICULARLY HIS NOVELS</w:t>
      </w:r>
    </w:p>
    <w:p>
      <w:pPr>
        <w:autoSpaceDN w:val="0"/>
        <w:autoSpaceDE w:val="0"/>
        <w:widowControl/>
        <w:spacing w:line="268" w:lineRule="exact" w:before="82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NOLI ME TANGERE AND EL FILIBUSTERISMO, AUTHORIZING THE</w:t>
      </w:r>
    </w:p>
    <w:p>
      <w:pPr>
        <w:autoSpaceDN w:val="0"/>
        <w:autoSpaceDE w:val="0"/>
        <w:widowControl/>
        <w:spacing w:line="268" w:lineRule="exact" w:before="8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PRINTING AND DISTRIBUTION THEREOF, AND FOR OTHER PURPOSES</w:t>
      </w:r>
    </w:p>
    <w:p>
      <w:pPr>
        <w:autoSpaceDN w:val="0"/>
        <w:autoSpaceDE w:val="0"/>
        <w:widowControl/>
        <w:spacing w:line="240" w:lineRule="auto" w:before="50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959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306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CLARO M. RECTO</w:t>
      </w:r>
    </w:p>
    <w:p>
      <w:pPr>
        <w:autoSpaceDN w:val="0"/>
        <w:autoSpaceDE w:val="0"/>
        <w:widowControl/>
        <w:spacing w:line="274" w:lineRule="exact" w:before="350" w:after="0"/>
        <w:ind w:left="36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February 8, 1890 – October 2, 1960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main proponent of the Rizal Bill, which later became a law on June 12, 1956,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signed by President Ramon Magsaysay.</w:t>
      </w:r>
    </w:p>
    <w:p>
      <w:pPr>
        <w:autoSpaceDN w:val="0"/>
        <w:autoSpaceDE w:val="0"/>
        <w:widowControl/>
        <w:spacing w:line="282" w:lineRule="exact" w:before="274" w:after="0"/>
        <w:ind w:left="36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was dubbed as communist and anti-Catholic because of proposing what is now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known as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R.A. 1425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auto" w:before="43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959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308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CLARO M. RECTO</w:t>
      </w:r>
    </w:p>
    <w:p>
      <w:pPr>
        <w:autoSpaceDN w:val="0"/>
        <w:autoSpaceDE w:val="0"/>
        <w:widowControl/>
        <w:spacing w:line="240" w:lineRule="exact" w:before="356" w:after="0"/>
        <w:ind w:left="108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"The people who would eliminate the books of Rizal from</w:t>
      </w:r>
    </w:p>
    <w:p>
      <w:pPr>
        <w:autoSpaceDN w:val="0"/>
        <w:autoSpaceDE w:val="0"/>
        <w:widowControl/>
        <w:spacing w:line="240" w:lineRule="exact" w:before="72" w:after="0"/>
        <w:ind w:left="108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the schools would blot out from our minds the memory of</w:t>
      </w:r>
    </w:p>
    <w:p>
      <w:pPr>
        <w:autoSpaceDN w:val="0"/>
        <w:autoSpaceDE w:val="0"/>
        <w:widowControl/>
        <w:spacing w:line="240" w:lineRule="exact" w:before="70" w:after="0"/>
        <w:ind w:left="108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the national hero. This is not a fight against Recto but</w:t>
      </w:r>
    </w:p>
    <w:p>
      <w:pPr>
        <w:autoSpaceDN w:val="0"/>
        <w:autoSpaceDE w:val="0"/>
        <w:widowControl/>
        <w:spacing w:line="240" w:lineRule="exact" w:before="72" w:after="0"/>
        <w:ind w:left="108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a fight against Rizal."</w:t>
      </w:r>
    </w:p>
    <w:p>
      <w:pPr>
        <w:autoSpaceDN w:val="0"/>
        <w:autoSpaceDE w:val="0"/>
        <w:widowControl/>
        <w:spacing w:line="240" w:lineRule="auto" w:before="49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959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704" w:right="1440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JOSE P. LAUREL</w:t>
      </w:r>
    </w:p>
    <w:p>
      <w:pPr>
        <w:autoSpaceDN w:val="0"/>
        <w:autoSpaceDE w:val="0"/>
        <w:widowControl/>
        <w:spacing w:line="274" w:lineRule="exact" w:before="348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Then senator, co-wrote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R.A. 1425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explained why Jose Rizal, the founder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country’s nationalism, had significantly contributed tremendously to the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condition of the nation. It is only right that Filipinos, especially the youth, know about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learn to imbibe the great ideals for which the hero died.</w:t>
      </w:r>
    </w:p>
    <w:p>
      <w:pPr>
        <w:autoSpaceDN w:val="0"/>
        <w:autoSpaceDE w:val="0"/>
        <w:widowControl/>
        <w:spacing w:line="240" w:lineRule="auto" w:before="44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95900" cy="38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8" w:lineRule="exact" w:before="306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THE RIZAL LAW AIMS TO ACCOMPLISH THE FOLLOWING GOALS:</w:t>
      </w:r>
    </w:p>
    <w:p>
      <w:pPr>
        <w:autoSpaceDN w:val="0"/>
        <w:autoSpaceDE w:val="0"/>
        <w:widowControl/>
        <w:spacing w:line="272" w:lineRule="exact" w:before="350" w:after="0"/>
        <w:ind w:left="78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To rededicate the lives of youth to the ideals of freedom and nationalism,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which our heroes lived and died.</w:t>
      </w:r>
    </w:p>
    <w:p>
      <w:pPr>
        <w:autoSpaceDN w:val="0"/>
        <w:autoSpaceDE w:val="0"/>
        <w:widowControl/>
        <w:spacing w:line="272" w:lineRule="exact" w:before="60" w:after="0"/>
        <w:ind w:left="78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To pay tribute to our national hero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devoting his life and works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shaping the Filipino character.</w:t>
      </w:r>
    </w:p>
    <w:p>
      <w:pPr>
        <w:autoSpaceDN w:val="0"/>
        <w:autoSpaceDE w:val="0"/>
        <w:widowControl/>
        <w:spacing w:line="272" w:lineRule="exact" w:before="60" w:after="0"/>
        <w:ind w:left="78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To gain an inspiring source of patriotism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through the study of Rizal's life,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works, and writings.</w:t>
      </w:r>
    </w:p>
    <w:p>
      <w:pPr>
        <w:autoSpaceDN w:val="0"/>
        <w:autoSpaceDE w:val="0"/>
        <w:widowControl/>
        <w:spacing w:line="240" w:lineRule="auto" w:before="4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95900" cy="38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0" w:lineRule="exact" w:before="300" w:after="232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IMPLEMENTATION OF R.A. 1425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183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8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  <w:p>
            <w:pPr>
              <w:autoSpaceDN w:val="0"/>
              <w:autoSpaceDE w:val="0"/>
              <w:widowControl/>
              <w:spacing w:line="178" w:lineRule="exact" w:before="926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</w:tc>
        <w:tc>
          <w:tcPr>
            <w:tcW w:type="dxa" w:w="8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8" w:after="0"/>
              <w:ind w:left="158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1994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former President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Fidel V. Ramos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directed the Secretary of Education,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Culture, and Sports and the Chairman of the Commission on Higher Education,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through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Memorandum Order No. 247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to fully implement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R.A. 1425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as there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had been reports that the law had still not been totally carried out.</w:t>
            </w:r>
          </w:p>
          <w:p>
            <w:pPr>
              <w:autoSpaceDN w:val="0"/>
              <w:autoSpaceDE w:val="0"/>
              <w:widowControl/>
              <w:spacing w:line="276" w:lineRule="exact" w:before="56" w:after="0"/>
              <w:ind w:left="158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1995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CHED Memorandum No. 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was issued enforcing strict compliance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with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Memorandum Order No. 247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0" w:lineRule="auto" w:before="36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959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0" w:lineRule="exact" w:before="296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REPUBLIC ACT NO. 229</w:t>
      </w:r>
    </w:p>
    <w:p>
      <w:pPr>
        <w:autoSpaceDN w:val="0"/>
        <w:autoSpaceDE w:val="0"/>
        <w:widowControl/>
        <w:spacing w:line="332" w:lineRule="exact" w:before="290" w:after="168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June 09, 1948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12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6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</w:tc>
        <w:tc>
          <w:tcPr>
            <w:tcW w:type="dxa" w:w="8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158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Republic Act No. 229, enacted on June 9, 1948, is a law that prohibits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desecration of national heroes' monuments, graves, and memorials. It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mandates the observance of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Rizal Day (December 30)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and requires the public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honor the memory of Dr. José Rizal by conducting appropriate ceremonies.</w:t>
            </w:r>
          </w:p>
        </w:tc>
      </w:tr>
    </w:tbl>
    <w:p>
      <w:pPr>
        <w:autoSpaceDN w:val="0"/>
        <w:autoSpaceDE w:val="0"/>
        <w:widowControl/>
        <w:spacing w:line="240" w:lineRule="auto" w:before="37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959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0" w:lineRule="exact" w:before="296" w:after="236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7"/>
        </w:rPr>
        <w:t>THE IMPORTANCE OF STUDYING RIZAL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146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6" w:after="0"/>
              <w:ind w:left="180" w:right="140" w:firstLine="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16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subject provides insights into how to deal with current problems.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It helps us understand ourselves better as Filipinos.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It teaches nationalism and patriotism.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It provides various essential life lessons.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It helps in developing logical and critical thinking.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0" w:right="1440" w:bottom="8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65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" w:after="0"/>
              <w:ind w:left="144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</w:t>
            </w:r>
          </w:p>
        </w:tc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6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Rizal can serve as a worthwhile model and inspiration to every Filipino.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subject is a rich source of entertaining narratives.</w:t>
            </w:r>
          </w:p>
        </w:tc>
      </w:tr>
    </w:tbl>
    <w:p>
      <w:pPr>
        <w:autoSpaceDN w:val="0"/>
        <w:autoSpaceDE w:val="0"/>
        <w:widowControl/>
        <w:spacing w:line="240" w:lineRule="auto" w:before="38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95900" cy="38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70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