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  <w:jc w:val="center"/>
      </w:pPr>
      <w:r>
        <w:drawing>
          <wp:inline distT="0" distB="0" distL="0" distR="0">
            <wp:extent cx="28575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500"/>
        <w:jc w:val="center"/>
      </w:pPr>
      <w:r>
        <w:rPr>
          <w:rFonts w:ascii="Calibri" w:cs="Calibri" w:eastAsia="Calibri" w:hAnsi="Calibri"/>
          <w:b/>
          <w:bCs/>
          <w:color w:val="D4A028"/>
          <w:spacing w:val="60"/>
          <w:sz w:val="26"/>
          <w:szCs w:val="26"/>
        </w:rPr>
        <w:t xml:space="preserve">BUSINESS REQUIREMENTS DOCUMENT</w:t>
      </w:r>
    </w:p>
    <w:p>
      <w:pPr>
        <w:spacing w:after="0" w:before="240"/>
        <w:jc w:val="center"/>
      </w:pPr>
      <w:r>
        <w:rPr>
          <w:rFonts w:ascii="Cambria" w:cs="Cambria" w:eastAsia="Cambria" w:hAnsi="Cambria"/>
          <w:b/>
          <w:bCs/>
          <w:color w:val="13294B"/>
          <w:sz w:val="52"/>
          <w:szCs w:val="52"/>
        </w:rPr>
        <w:t xml:space="preserve">Navgrow Platform</w:t>
      </w:r>
    </w:p>
    <w:p>
      <w:pPr>
        <w:spacing w:before="160"/>
        <w:jc w:val="center"/>
      </w:pPr>
      <w:r>
        <w:rPr>
          <w:rFonts w:ascii="Calibri" w:cs="Calibri" w:eastAsia="Calibri" w:hAnsi="Calibri"/>
          <w:i/>
          <w:iCs/>
          <w:color w:val="5A6B7B"/>
          <w:sz w:val="24"/>
          <w:szCs w:val="24"/>
        </w:rPr>
        <w:t xml:space="preserve">Services + B2B Commerce</w:t>
      </w:r>
    </w:p>
    <w:p>
      <w:pPr>
        <w:spacing w:before="900"/>
        <w:jc w:val="center"/>
      </w:pPr>
      <w:r>
        <w:drawing>
          <wp:inline distT="0" distB="0" distL="0" distR="0">
            <wp:extent cx="74295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</w:t>
      </w:r>
      <w:r>
        <w:drawing>
          <wp:inline distT="0" distB="0" distL="0" distR="0">
            <wp:extent cx="74295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</w:t>
      </w:r>
      <w:r>
        <w:drawing>
          <wp:inline distT="0" distB="0" distL="0" distR="0">
            <wp:extent cx="74295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</w:t>
      </w:r>
    </w:p>
    <w:p>
      <w:pPr>
        <w:spacing w:after="0" w:before="700"/>
        <w:jc w:val="center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Navgrow Engineering Service Pvt. Ltd.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5A6B7B"/>
          <w:sz w:val="18"/>
          <w:szCs w:val="18"/>
        </w:rPr>
        <w:t xml:space="preserve">Siliguri, West Bengal, India  •  www.navgrow.org  •  info@navgrow.org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5A6B7B"/>
          <w:sz w:val="16"/>
          <w:szCs w:val="16"/>
        </w:rPr>
        <w:t xml:space="preserve">CIN: U74999WB2022PTC256012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9AA7B4"/>
          <w:sz w:val="16"/>
          <w:szCs w:val="16"/>
        </w:rPr>
        <w:t xml:space="preserve">Version 1.0  •  2025  •  Confidential</w:t>
      </w:r>
    </w:p>
    <w:p>
      <w:r>
        <w:br/>
        <w:t xml:space="preserve"/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1. Document Control</w:t>
      </w:r>
    </w:p>
    <w:tbl>
      <w:tblPr>
        <w:tblW w:type="dxa" w:w="9360"/>
        <w:tblBorders>
          <w:top w:val="single" w:color="DCE3EC" w:sz="4"/>
          <w:left w:val="single" w:color="DCE3EC" w:sz="4"/>
          <w:bottom w:val="single" w:color="DCE3EC" w:sz="4"/>
          <w:right w:val="single" w:color="DCE3EC" w:sz="4"/>
          <w:insideH w:val="single" w:color="DCE3EC" w:sz="4"/>
          <w:insideV w:val="single" w:color="DCE3EC" w:sz="4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shd w:fill="13294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686"/>
            <w:shd w:fill="13294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6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Navgrow Platform — Business Requirements Document (BRD)</w:t>
            </w:r>
          </w:p>
        </w:tc>
      </w:tr>
      <w:tr>
        <w:tc>
          <w:tcPr>
            <w:tcW w:type="dxa" w:w="2674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Version</w:t>
            </w:r>
          </w:p>
        </w:tc>
        <w:tc>
          <w:tcPr>
            <w:tcW w:type="dxa" w:w="6686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Status</w:t>
            </w:r>
          </w:p>
        </w:tc>
        <w:tc>
          <w:tcPr>
            <w:tcW w:type="dxa" w:w="66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2674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Owner</w:t>
            </w:r>
          </w:p>
        </w:tc>
        <w:tc>
          <w:tcPr>
            <w:tcW w:type="dxa" w:w="6686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Navgrow Engineering Service Pvt. Ltd.</w:t>
            </w:r>
          </w:p>
        </w:tc>
      </w:tr>
      <w:tr>
        <w:tc>
          <w:tcPr>
            <w:tcW w:type="dxa" w:w="26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6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674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6686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Leadership, Product, Engineering &amp; Investors</w:t>
            </w:r>
          </w:p>
        </w:tc>
      </w:tr>
    </w:tbl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2. Executive Summary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Navgrow Engineering Service Pvt. Ltd. is a DPIIT-recognised, MSME-registered engineering company that couples on-the-ground engineering delivery with a proprietary digital platform. This document defines the business requirements for that platform: a single, branded, GST-compliant system through which Navgrow markets its services, sells industrial products to B2B buyers, manages quotations and tenders, and operates the whole business from one administrative console.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The platform exists to remove the friction that defines regional engineering commerce today — offline procurement, manual quote cycles, and weak digital discovery — and to convert Navgrow’s engineering credibility into measurable online revenue and operational efficiency.</w:t>
      </w:r>
    </w:p>
    <w:tbl>
      <w:tblPr>
        <w:tblW w:type="dxa" w:w="9360"/>
        <w:tblBorders>
          <w:top w:val="single" w:color="D4A028" w:sz="4"/>
          <w:left w:val="single" w:color="D4A028" w:sz="24"/>
          <w:bottom w:val="single" w:color="D4A028" w:sz="4"/>
          <w:right w:val="single" w:color="D4A028" w:sz="4"/>
          <w:insideH w:val="single" w:color="D4A028" w:sz="4"/>
          <w:insideV w:val="single" w:color="D4A028" w:sz="4"/>
        </w:tblBorders>
      </w:tblPr>
      <w:tblGrid>
        <w:gridCol w:w="9360"/>
      </w:tblGrid>
      <w:tr>
        <w:tc>
          <w:tcPr>
            <w:shd w:fill="F1F5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4A028"/>
                <w:spacing w:val="40"/>
                <w:sz w:val="16"/>
                <w:szCs w:val="16"/>
              </w:rPr>
              <w:t xml:space="preserve">CORE BUSINESS NEED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1A2332"/>
                <w:sz w:val="20"/>
                <w:szCs w:val="20"/>
              </w:rPr>
              <w:t xml:space="preserve">The platform must let Navgrow sell both services and products under one brand, with full Indian tax compliance, from a single admin console — without depending on third-party marketplaces.</w:t>
            </w:r>
          </w:p>
        </w:tc>
      </w:tr>
    </w:tbl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3. Business Objectives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The platform is expected to deliver against the following measurable objectives: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Establish a professional, trustworthy digital storefront that converts B2B buyers who now expect to research and purchase online.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Shorten the quote-to-order cycle by digitising RFQs, bulk pricing and quotations end-to-end.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Achieve GST-grade compliance on every transaction — tax-inclusive pricing, HSN/SAC codes, and correct invoices.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Improve digital discovery (search visibility, local presence) to generate inbound leads at low marginal cost.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Centralise operations — catalogue, orders, delivery, coupons, content, and notifications — in one role-based admin console.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Build on owned technology that scales with marketing spend rather than requiring rebuilds.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4. Scope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3294B"/>
          <w:sz w:val="24"/>
          <w:szCs w:val="24"/>
        </w:rPr>
        <w:t xml:space="preserve">4.1 In Scope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Public website: home, about, services, projects, gallery, news/blog, contact, careers.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B2B e-commerce: catalogue, product detail, search, wishlist, cart, checkout (online + COD).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Quotation &amp; RFQ: instant quote calculator, bulk enquiry, and full RFQ lifecycle.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Compliance: GST-inclusive pricing, per-slab tax breakdown, HSN/SAC codes, invoices, GSTIN capture.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Commerce operations: coupons, delivery zones, per-product delivery charges, order management.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Accounts: registration, login (email + OAuth), OTP, password reset, order tracking, saved quotes.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Administration: role-based admin &amp; editor consoles, analytics, audit logs, configurable notifications.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Growth: SEO (prerendered pages, sitemap, structured data), newsletter, content management.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3294B"/>
          <w:sz w:val="24"/>
          <w:szCs w:val="24"/>
        </w:rPr>
        <w:t xml:space="preserve">4.2 Out of Scope (current release)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Third-party seller marketplace / multi-vendor onboarding (planned as a future phase).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Native mobile applications (the platform is responsive web).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International tax regimes beyond Indian GST.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5. Stakeholders</w:t>
      </w:r>
    </w:p>
    <w:tbl>
      <w:tblPr>
        <w:tblW w:type="dxa" w:w="9360"/>
        <w:tblBorders>
          <w:top w:val="single" w:color="DCE3EC" w:sz="4"/>
          <w:left w:val="single" w:color="DCE3EC" w:sz="4"/>
          <w:bottom w:val="single" w:color="DCE3EC" w:sz="4"/>
          <w:right w:val="single" w:color="DCE3EC" w:sz="4"/>
          <w:insideH w:val="single" w:color="DCE3EC" w:sz="4"/>
          <w:insideV w:val="single" w:color="DCE3EC" w:sz="4"/>
        </w:tblBorders>
      </w:tblPr>
      <w:tblGrid>
        <w:gridCol w:w="3209"/>
        <w:gridCol w:w="6151"/>
      </w:tblGrid>
      <w:tr>
        <w:trPr>
          <w:tblHeader/>
        </w:trPr>
        <w:tc>
          <w:tcPr>
            <w:tcW w:type="dxa" w:w="3209"/>
            <w:shd w:fill="13294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6151"/>
            <w:shd w:fill="13294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Interest in the platform</w:t>
            </w:r>
          </w:p>
        </w:tc>
      </w:tr>
      <w:tr>
        <w:tc>
          <w:tcPr>
            <w:tcW w:type="dxa" w:w="32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Leadership / Founders</w:t>
            </w:r>
          </w:p>
        </w:tc>
        <w:tc>
          <w:tcPr>
            <w:tcW w:type="dxa" w:w="61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Revenue growth, brand, operational control, investor readiness</w:t>
            </w:r>
          </w:p>
        </w:tc>
      </w:tr>
      <w:tr>
        <w:tc>
          <w:tcPr>
            <w:tcW w:type="dxa" w:w="3209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Sales &amp; Category team</w:t>
            </w:r>
          </w:p>
        </w:tc>
        <w:tc>
          <w:tcPr>
            <w:tcW w:type="dxa" w:w="6151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Lead capture, catalogue management, RFQ conversion</w:t>
            </w:r>
          </w:p>
        </w:tc>
      </w:tr>
      <w:tr>
        <w:tc>
          <w:tcPr>
            <w:tcW w:type="dxa" w:w="32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Operations &amp; Delivery</w:t>
            </w:r>
          </w:p>
        </w:tc>
        <w:tc>
          <w:tcPr>
            <w:tcW w:type="dxa" w:w="61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Order fulfilment, delivery zones, dispatch and tracking</w:t>
            </w:r>
          </w:p>
        </w:tc>
      </w:tr>
      <w:tr>
        <w:tc>
          <w:tcPr>
            <w:tcW w:type="dxa" w:w="3209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Finance</w:t>
            </w:r>
          </w:p>
        </w:tc>
        <w:tc>
          <w:tcPr>
            <w:tcW w:type="dxa" w:w="6151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GST compliance, correct invoicing, reconciliation</w:t>
            </w:r>
          </w:p>
        </w:tc>
      </w:tr>
      <w:tr>
        <w:tc>
          <w:tcPr>
            <w:tcW w:type="dxa" w:w="32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Content &amp; Marketing</w:t>
            </w:r>
          </w:p>
        </w:tc>
        <w:tc>
          <w:tcPr>
            <w:tcW w:type="dxa" w:w="61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Website content, SEO, news, careers, campaigns</w:t>
            </w:r>
          </w:p>
        </w:tc>
      </w:tr>
      <w:tr>
        <w:tc>
          <w:tcPr>
            <w:tcW w:type="dxa" w:w="3209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B2B Customers</w:t>
            </w:r>
          </w:p>
        </w:tc>
        <w:tc>
          <w:tcPr>
            <w:tcW w:type="dxa" w:w="6151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Easy discovery, transparent pricing, quotes, GST invoices</w:t>
            </w:r>
          </w:p>
        </w:tc>
      </w:tr>
      <w:tr>
        <w:tc>
          <w:tcPr>
            <w:tcW w:type="dxa" w:w="32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Administrators / Editors</w:t>
            </w:r>
          </w:p>
        </w:tc>
        <w:tc>
          <w:tcPr>
            <w:tcW w:type="dxa" w:w="61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 reliable console to run the business day to day</w:t>
            </w:r>
          </w:p>
        </w:tc>
      </w:tr>
      <w:tr>
        <w:tc>
          <w:tcPr>
            <w:tcW w:type="dxa" w:w="3209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Investors</w:t>
            </w:r>
          </w:p>
        </w:tc>
        <w:tc>
          <w:tcPr>
            <w:tcW w:type="dxa" w:w="6151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 defensible, scalable, compliant, revenue-generating asset</w:t>
            </w:r>
          </w:p>
        </w:tc>
      </w:tr>
    </w:tbl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6. Business Requirements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Requirements are grouped by capability. Each is a business-level statement of need; the corresponding functional detail is specified in the PRD.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D4A028"/>
          <w:sz w:val="21"/>
          <w:szCs w:val="21"/>
        </w:rPr>
        <w:t xml:space="preserve">6.1 Digital Presence &amp; Discovery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BR-01 — The business must present a professional, branded website conveying credibility and certifications.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BR-02 — The platform must be discoverable in search engines, with every key page indexable and structured for rich results.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BR-03 — The business must be able to publish news/insights and showcase projects to build authority and inbound leads.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D4A028"/>
          <w:sz w:val="21"/>
          <w:szCs w:val="21"/>
        </w:rPr>
        <w:t xml:space="preserve">6.2 Commerce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BR-04 — B2B buyers must be able to browse a categorised catalogue, search, compare, and view detailed product information.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BR-05 — Buyers must be able to purchase online (card/UPI/netbanking) and via Cash on Delivery.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BR-06 — Pricing must be GST-inclusive with a transparent tax breakdown and correct HSN codes on every item.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BR-07 — The business must be able to run promotions via configurable coupons with rules and usage limits.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BR-08 — Delivery charges must reflect product weight/bulk and destination, and be shown only once a serviceable pincode is known.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D4A028"/>
          <w:sz w:val="21"/>
          <w:szCs w:val="21"/>
        </w:rPr>
        <w:t xml:space="preserve">6.3 Quotations, RFQ &amp; Tenders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BR-09 — Prospects must be able to obtain an instant indicative quote for services/scope.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BR-10 — Buyers must be able to raise bulk/RFQ requests; the team must be able to price and return formal quotes with validity.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BR-11 — The business must be able to publish and manage tenders and capture leads against them.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D4A028"/>
          <w:sz w:val="21"/>
          <w:szCs w:val="21"/>
        </w:rPr>
        <w:t xml:space="preserve">6.4 Accounts &amp; Trust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BR-12 — Customers must be able to register, sign in securely (including via Google), and reset passwords.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BR-13 — Customers must be able to track orders and revisit saved quotes.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BR-14 — The platform must protect data and actions with authentication, authorisation, and audit logging.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D4A028"/>
          <w:sz w:val="21"/>
          <w:szCs w:val="21"/>
        </w:rPr>
        <w:t xml:space="preserve">6.5 Operations &amp; Administration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BR-15 — Administrators must manage catalogue, orders, coupons, delivery zones, tax rules, content, and users from one console.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BR-16 — A limited editor role must manage content (news, gallery, careers) without full admin access.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BR-17 — The business must configure where each notification (careers, orders, quotes, contact) is sent, and switch email/SMS on or off, without a redeploy.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BR-18 — Transactional email and SMS must be DLT/GST-appropriate and reliably delivered.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BR-19 — Leadership must see analytics on traffic and commerce to guide decisions.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7. Assumptions &amp; Constraints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The business operates under Indian law; GST and DLT SMS regulations apply.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Payment is processed through Razorpay; SMS through a DLT-registered provider (e.g. MSG91); email via SMTP.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The initial go-to-market is North Bengal, expanding outward from a regional base.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The platform is responsive web; native apps are a future consideration.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8. Success Metrics</w:t>
      </w:r>
    </w:p>
    <w:tbl>
      <w:tblPr>
        <w:tblW w:type="dxa" w:w="9360"/>
        <w:tblBorders>
          <w:top w:val="single" w:color="DCE3EC" w:sz="4"/>
          <w:left w:val="single" w:color="DCE3EC" w:sz="4"/>
          <w:bottom w:val="single" w:color="DCE3EC" w:sz="4"/>
          <w:right w:val="single" w:color="DCE3EC" w:sz="4"/>
          <w:insideH w:val="single" w:color="DCE3EC" w:sz="4"/>
          <w:insideV w:val="single" w:color="DCE3EC" w:sz="4"/>
        </w:tblBorders>
      </w:tblPr>
      <w:tblGrid>
        <w:gridCol w:w="4011"/>
        <w:gridCol w:w="5349"/>
      </w:tblGrid>
      <w:tr>
        <w:trPr>
          <w:tblHeader/>
        </w:trPr>
        <w:tc>
          <w:tcPr>
            <w:tcW w:type="dxa" w:w="4011"/>
            <w:shd w:fill="13294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349"/>
            <w:shd w:fill="13294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40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Online orders &amp; GMV</w:t>
            </w:r>
          </w:p>
        </w:tc>
        <w:tc>
          <w:tcPr>
            <w:tcW w:type="dxa" w:w="53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Direct measure of commerce traction</w:t>
            </w:r>
          </w:p>
        </w:tc>
      </w:tr>
      <w:tr>
        <w:tc>
          <w:tcPr>
            <w:tcW w:type="dxa" w:w="4011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RFQ volume &amp; conversion</w:t>
            </w:r>
          </w:p>
        </w:tc>
        <w:tc>
          <w:tcPr>
            <w:tcW w:type="dxa" w:w="5349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Health of the B2B pipeline</w:t>
            </w:r>
          </w:p>
        </w:tc>
      </w:tr>
      <w:tr>
        <w:tc>
          <w:tcPr>
            <w:tcW w:type="dxa" w:w="40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Indexed pages &amp; organic traffic</w:t>
            </w:r>
          </w:p>
        </w:tc>
        <w:tc>
          <w:tcPr>
            <w:tcW w:type="dxa" w:w="53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Digital discovery and inbound lead generation</w:t>
            </w:r>
          </w:p>
        </w:tc>
      </w:tr>
      <w:tr>
        <w:tc>
          <w:tcPr>
            <w:tcW w:type="dxa" w:w="4011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Quote-to-order cycle time</w:t>
            </w:r>
          </w:p>
        </w:tc>
        <w:tc>
          <w:tcPr>
            <w:tcW w:type="dxa" w:w="5349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Operational efficiency gain</w:t>
            </w:r>
          </w:p>
        </w:tc>
      </w:tr>
      <w:tr>
        <w:tc>
          <w:tcPr>
            <w:tcW w:type="dxa" w:w="40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Repeat purchase rate</w:t>
            </w:r>
          </w:p>
        </w:tc>
        <w:tc>
          <w:tcPr>
            <w:tcW w:type="dxa" w:w="53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Customer trust and retention</w:t>
            </w:r>
          </w:p>
        </w:tc>
      </w:tr>
      <w:tr>
        <w:tc>
          <w:tcPr>
            <w:tcW w:type="dxa" w:w="4011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Notification delivery rate</w:t>
            </w:r>
          </w:p>
        </w:tc>
        <w:tc>
          <w:tcPr>
            <w:tcW w:type="dxa" w:w="5349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Reliability of customer communication</w:t>
            </w:r>
          </w:p>
        </w:tc>
      </w:tr>
    </w:tbl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9. Risks &amp; Mitigations</w:t>
      </w:r>
    </w:p>
    <w:tbl>
      <w:tblPr>
        <w:tblW w:type="dxa" w:w="9360"/>
        <w:tblBorders>
          <w:top w:val="single" w:color="DCE3EC" w:sz="4"/>
          <w:left w:val="single" w:color="DCE3EC" w:sz="4"/>
          <w:bottom w:val="single" w:color="DCE3EC" w:sz="4"/>
          <w:right w:val="single" w:color="DCE3EC" w:sz="4"/>
          <w:insideH w:val="single" w:color="DCE3EC" w:sz="4"/>
          <w:insideV w:val="single" w:color="DCE3EC" w:sz="4"/>
        </w:tblBorders>
      </w:tblPr>
      <w:tblGrid>
        <w:gridCol w:w="4413"/>
        <w:gridCol w:w="4947"/>
      </w:tblGrid>
      <w:tr>
        <w:trPr>
          <w:tblHeader/>
        </w:trPr>
        <w:tc>
          <w:tcPr>
            <w:tcW w:type="dxa" w:w="4413"/>
            <w:shd w:fill="13294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947"/>
            <w:shd w:fill="13294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4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SMS/email not delivering (DLT/SMTP)</w:t>
            </w:r>
          </w:p>
        </w:tc>
        <w:tc>
          <w:tcPr>
            <w:tcW w:type="dxa" w:w="49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Admin-configurable providers with test tools and DLT-approved templates</w:t>
            </w:r>
          </w:p>
        </w:tc>
      </w:tr>
      <w:tr>
        <w:tc>
          <w:tcPr>
            <w:tcW w:type="dxa" w:w="4413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Low search indexing</w:t>
            </w:r>
          </w:p>
        </w:tc>
        <w:tc>
          <w:tcPr>
            <w:tcW w:type="dxa" w:w="4947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Build-time prerendering, sitemap, structured data, Search Console submission</w:t>
            </w:r>
          </w:p>
        </w:tc>
      </w:tr>
      <w:tr>
        <w:tc>
          <w:tcPr>
            <w:tcW w:type="dxa" w:w="44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Payment/stock integrity</w:t>
            </w:r>
          </w:p>
        </w:tc>
        <w:tc>
          <w:tcPr>
            <w:tcW w:type="dxa" w:w="49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Server-side price recomputation, signed &amp; idempotent payment verification, transactional stock</w:t>
            </w:r>
          </w:p>
        </w:tc>
      </w:tr>
      <w:tr>
        <w:tc>
          <w:tcPr>
            <w:tcW w:type="dxa" w:w="4413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Wrong tax on invoices</w:t>
            </w:r>
          </w:p>
        </w:tc>
        <w:tc>
          <w:tcPr>
            <w:tcW w:type="dxa" w:w="4947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Category tax rules, HSN/SAC codes, GST-inclusive pricing with per-slab breakdown</w:t>
            </w:r>
          </w:p>
        </w:tc>
      </w:tr>
      <w:tr>
        <w:tc>
          <w:tcPr>
            <w:tcW w:type="dxa" w:w="44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Single-region dependency</w:t>
            </w:r>
          </w:p>
        </w:tc>
        <w:tc>
          <w:tcPr>
            <w:tcW w:type="dxa" w:w="49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Phased geographic expansion and widening supplier base</w:t>
            </w:r>
          </w:p>
        </w:tc>
      </w:tr>
    </w:tbl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10. Approval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This BRD represents the agreed business requirements baseline for the Navgrow platform.</w:t>
      </w:r>
    </w:p>
    <w:tbl>
      <w:tblPr>
        <w:tblW w:type="dxa" w:w="9360"/>
        <w:tblBorders>
          <w:top w:val="single" w:color="DCE3EC" w:sz="4"/>
          <w:left w:val="single" w:color="DCE3EC" w:sz="4"/>
          <w:bottom w:val="single" w:color="DCE3EC" w:sz="4"/>
          <w:right w:val="single" w:color="DCE3EC" w:sz="4"/>
          <w:insideH w:val="single" w:color="DCE3EC" w:sz="4"/>
          <w:insideV w:val="single" w:color="DCE3EC" w:sz="4"/>
        </w:tblBorders>
      </w:tblPr>
      <w:tblGrid>
        <w:gridCol w:w="2942"/>
        <w:gridCol w:w="3209"/>
        <w:gridCol w:w="3209"/>
      </w:tblGrid>
      <w:tr>
        <w:trPr>
          <w:tblHeader/>
        </w:trPr>
        <w:tc>
          <w:tcPr>
            <w:tcW w:type="dxa" w:w="2942"/>
            <w:shd w:fill="13294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9"/>
            <w:shd w:fill="13294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9"/>
            <w:shd w:fill="13294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Signature / Date</w:t>
            </w:r>
          </w:p>
        </w:tc>
      </w:tr>
      <w:tr>
        <w:tc>
          <w:tcPr>
            <w:tcW w:type="dxa" w:w="29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32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/>
            </w:r>
          </w:p>
        </w:tc>
        <w:tc>
          <w:tcPr>
            <w:tcW w:type="dxa" w:w="32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42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Product</w:t>
            </w:r>
          </w:p>
        </w:tc>
        <w:tc>
          <w:tcPr>
            <w:tcW w:type="dxa" w:w="3209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/>
            </w:r>
          </w:p>
        </w:tc>
        <w:tc>
          <w:tcPr>
            <w:tcW w:type="dxa" w:w="3209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32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/>
            </w:r>
          </w:p>
        </w:tc>
        <w:tc>
          <w:tcPr>
            <w:tcW w:type="dxa" w:w="32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C" w:sz="6" w:space="4"/>
      </w:pBdr>
      <w:tabs>
        <w:tab w:val="right" w:pos="9026"/>
      </w:tabs>
      <w:spacing w:before="40"/>
    </w:pPr>
    <w:r>
      <w:rPr>
        <w:rFonts w:ascii="Calibri" w:cs="Calibri" w:eastAsia="Calibri" w:hAnsi="Calibri"/>
        <w:color w:val="5A6B7B"/>
        <w:sz w:val="14"/>
        <w:szCs w:val="14"/>
      </w:rPr>
      <w:t xml:space="preserve">Navgrow Engineering  •  Confidential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5A6B7B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Calibri" w:cs="Calibri" w:eastAsia="Calibri" w:hAnsi="Calibri"/>
        <w:color w:val="9AA7B4"/>
        <w:sz w:val="11"/>
        <w:szCs w:val="11"/>
      </w:rPr>
      <w:t xml:space="preserve">© 2026 Navgrow Engineering Service Pvt. Ltd. All rights reserved. CIN: U74999WB2022PTC256012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428750" cy="4667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D4A028" w:sz="10" w:space="4"/>
      </w:pBdr>
      <w:spacing w:after="6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D4A028"/>
      </w:r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3294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3294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3294B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c6db13f87841c52a767d87635600d8ddbd789c7.png"/><Relationship Id="rId10" Type="http://schemas.openxmlformats.org/officeDocument/2006/relationships/image" Target="media/7a924c278593b48b194757225c1f359fff7e3fe2.png"/><Relationship Id="rId11" Type="http://schemas.openxmlformats.org/officeDocument/2006/relationships/image" Target="media/91df8541cf279773531c4722208cfe2893a33e21.png"/><Relationship Id="rId12" Type="http://schemas.openxmlformats.org/officeDocument/2006/relationships/image" Target="media/f2aae2a9021d8498deda1f79d88bc60a49bc911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c6db13f87841c52a767d87635600d8ddbd789c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Navgrow BRD</dc:title>
  <dc:creator>Navgrow Engineering Service Pvt. Ltd.</dc:creator>
  <dc:description>Business Requirements Document</dc:description>
  <cp:lastModifiedBy>Un-named</cp:lastModifiedBy>
  <cp:revision>1</cp:revision>
  <dcterms:created xsi:type="dcterms:W3CDTF">2026-07-29T16:41:49.805Z</dcterms:created>
  <dcterms:modified xsi:type="dcterms:W3CDTF">2026-07-29T16:41:49.820Z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