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80"/>
        <w:jc w:val="center"/>
      </w:pPr>
      <w:r>
        <w:drawing>
          <wp:inline distT="0" distB="0" distL="0" distR="0">
            <wp:extent cx="2286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742950"/>
                    </a:xfrm>
                    <a:prstGeom prst="rect">
                      <a:avLst/>
                    </a:prstGeom>
                  </pic:spPr>
                </pic:pic>
              </a:graphicData>
            </a:graphic>
          </wp:inline>
        </w:drawing>
      </w:r>
    </w:p>
    <w:p>
      <w:pPr>
        <w:spacing w:after="14"/>
        <w:jc w:val="center"/>
      </w:pPr>
      <w:r>
        <w:rPr>
          <w:rFonts w:ascii="Calibri" w:cs="Calibri" w:eastAsia="Calibri" w:hAnsi="Calibri"/>
          <w:b/>
          <w:bCs/>
          <w:color w:val="D4A028"/>
          <w:spacing w:val="60"/>
          <w:sz w:val="22"/>
          <w:szCs w:val="22"/>
        </w:rPr>
        <w:t xml:space="preserve">CAPABILITIES STATEMENT</w:t>
      </w:r>
    </w:p>
    <w:p>
      <w:pPr>
        <w:pBdr>
          <w:bottom w:val="single" w:color="D4A028" w:sz="12" w:space="6"/>
        </w:pBdr>
        <w:spacing w:after="160"/>
        <w:jc w:val="center"/>
      </w:pPr>
      <w:r>
        <w:rPr>
          <w:rFonts w:ascii="Cambria" w:cs="Cambria" w:eastAsia="Cambria" w:hAnsi="Cambria"/>
          <w:b/>
          <w:bCs/>
          <w:color w:val="13294B"/>
          <w:sz w:val="20"/>
          <w:szCs w:val="20"/>
        </w:rPr>
        <w:t xml:space="preserve">Railway · Industrial · Civil · Sustainability</w:t>
      </w:r>
    </w:p>
    <w:p>
      <w:pPr>
        <w:spacing w:after="120" w:line="276"/>
        <w:jc w:val="left"/>
      </w:pPr>
      <w:r>
        <w:rPr>
          <w:rFonts w:ascii="Calibri" w:cs="Calibri" w:eastAsia="Calibri" w:hAnsi="Calibri"/>
          <w:b/>
          <w:bCs/>
          <w:color w:val="13294B"/>
          <w:sz w:val="21"/>
          <w:szCs w:val="21"/>
        </w:rPr>
        <w:t xml:space="preserve">Navgrow Engineering Service Pvt. Ltd. </w:t>
      </w:r>
      <w:r>
        <w:rPr>
          <w:rFonts w:ascii="Calibri" w:cs="Calibri" w:eastAsia="Calibri" w:hAnsi="Calibri"/>
          <w:color w:val="1A2332"/>
          <w:sz w:val="21"/>
          <w:szCs w:val="21"/>
        </w:rPr>
        <w:t xml:space="preserve">is a DPIIT-recognised, MSME-registered engineering and sustainability company incorporated in 2022 and headquartered in Siliguri, West Bengal. We deliver railway, industrial, civil and sustainability engineering for Indian Railways, industrial plants, government departments and private developers — with audit-ready documentation on every project.</w:t>
      </w:r>
    </w:p>
    <w:p>
      <w:pPr>
        <w:pStyle w:val="Heading3"/>
        <w:spacing w:after="70" w:before="160"/>
      </w:pPr>
      <w:r>
        <w:rPr>
          <w:rFonts w:ascii="Calibri" w:cs="Calibri" w:eastAsia="Calibri" w:hAnsi="Calibri"/>
          <w:b/>
          <w:bCs/>
          <w:color w:val="D4A028"/>
          <w:sz w:val="21"/>
          <w:szCs w:val="21"/>
        </w:rPr>
        <w:t xml:space="preserve">Core Competencies</w:t>
      </w:r>
    </w:p>
    <w:tbl>
      <w:tblPr>
        <w:tblW w:type="dxa" w:w="9360"/>
        <w:tblBorders>
          <w:top w:val="single" w:color="DCE3EC" w:sz="4"/>
          <w:left w:val="single" w:color="DCE3EC" w:sz="4"/>
          <w:bottom w:val="single" w:color="DCE3EC" w:sz="4"/>
          <w:right w:val="single" w:color="DCE3EC" w:sz="4"/>
          <w:insideH w:val="single" w:color="DCE3EC" w:sz="4"/>
          <w:insideV w:val="single" w:color="DCE3EC" w:sz="4"/>
        </w:tblBorders>
      </w:tblPr>
      <w:tblGrid>
        <w:gridCol w:w="2541"/>
        <w:gridCol w:w="6819"/>
      </w:tblGrid>
      <w:tr>
        <w:trPr>
          <w:tblHeader/>
        </w:trPr>
        <w:tc>
          <w:tcPr>
            <w:tcW w:type="dxa" w:w="2541"/>
            <w:shd w:fill="13294B" w:val="clear"/>
            <w:tcMar>
              <w:top w:type="dxa" w:w="60"/>
              <w:left w:type="dxa" w:w="90"/>
              <w:bottom w:type="dxa" w:w="60"/>
              <w:right w:type="dxa" w:w="90"/>
            </w:tcMar>
          </w:tcPr>
          <w:p>
            <w:r>
              <w:rPr>
                <w:rFonts w:ascii="Calibri" w:cs="Calibri" w:eastAsia="Calibri" w:hAnsi="Calibri"/>
                <w:b/>
                <w:bCs/>
                <w:color w:val="FFFFFF"/>
                <w:sz w:val="19"/>
                <w:szCs w:val="19"/>
              </w:rPr>
              <w:t xml:space="preserve">Domain</w:t>
            </w:r>
          </w:p>
        </w:tc>
        <w:tc>
          <w:tcPr>
            <w:tcW w:type="dxa" w:w="6819"/>
            <w:shd w:fill="13294B" w:val="clear"/>
            <w:tcMar>
              <w:top w:type="dxa" w:w="60"/>
              <w:left w:type="dxa" w:w="90"/>
              <w:bottom w:type="dxa" w:w="60"/>
              <w:right w:type="dxa" w:w="90"/>
            </w:tcMar>
          </w:tcPr>
          <w:p>
            <w:r>
              <w:rPr>
                <w:rFonts w:ascii="Calibri" w:cs="Calibri" w:eastAsia="Calibri" w:hAnsi="Calibri"/>
                <w:b/>
                <w:bCs/>
                <w:color w:val="FFFFFF"/>
                <w:sz w:val="19"/>
                <w:szCs w:val="19"/>
              </w:rPr>
              <w:t xml:space="preserve">Capabilities</w:t>
            </w:r>
          </w:p>
        </w:tc>
      </w:tr>
      <w:tr>
        <w:tc>
          <w:tcPr>
            <w:tcW w:type="dxa" w:w="2541"/>
            <w:tcMar>
              <w:top w:type="dxa" w:w="50"/>
              <w:left w:type="dxa" w:w="90"/>
              <w:bottom w:type="dxa" w:w="50"/>
              <w:right w:type="dxa" w:w="90"/>
            </w:tcMar>
          </w:tcPr>
          <w:p>
            <w:r>
              <w:rPr>
                <w:rFonts w:ascii="Calibri" w:cs="Calibri" w:eastAsia="Calibri" w:hAnsi="Calibri"/>
                <w:color w:val="1A2332"/>
                <w:sz w:val="18"/>
                <w:szCs w:val="18"/>
              </w:rPr>
              <w:t xml:space="preserve">Railway Infrastructure</w:t>
            </w:r>
          </w:p>
        </w:tc>
        <w:tc>
          <w:tcPr>
            <w:tcW w:type="dxa" w:w="6819"/>
            <w:tcMar>
              <w:top w:type="dxa" w:w="50"/>
              <w:left w:type="dxa" w:w="90"/>
              <w:bottom w:type="dxa" w:w="50"/>
              <w:right w:type="dxa" w:w="90"/>
            </w:tcMar>
          </w:tcPr>
          <w:p>
            <w:r>
              <w:rPr>
                <w:rFonts w:ascii="Calibri" w:cs="Calibri" w:eastAsia="Calibri" w:hAnsi="Calibri"/>
                <w:color w:val="1A2332"/>
                <w:sz w:val="18"/>
                <w:szCs w:val="18"/>
              </w:rPr>
              <w:t xml:space="preserve">Track, ROB, OHE/electrification, signalling &amp; telecom, station development, shed works — to RDSO standards</w:t>
            </w:r>
          </w:p>
        </w:tc>
      </w:tr>
      <w:tr>
        <w:tc>
          <w:tcPr>
            <w:tcW w:type="dxa" w:w="2541"/>
            <w:shd w:fill="EEF2F7" w:val="clear"/>
            <w:tcMar>
              <w:top w:type="dxa" w:w="50"/>
              <w:left w:type="dxa" w:w="90"/>
              <w:bottom w:type="dxa" w:w="50"/>
              <w:right w:type="dxa" w:w="90"/>
            </w:tcMar>
          </w:tcPr>
          <w:p>
            <w:r>
              <w:rPr>
                <w:rFonts w:ascii="Calibri" w:cs="Calibri" w:eastAsia="Calibri" w:hAnsi="Calibri"/>
                <w:color w:val="1A2332"/>
                <w:sz w:val="18"/>
                <w:szCs w:val="18"/>
              </w:rPr>
              <w:t xml:space="preserve">Civil &amp; Construction</w:t>
            </w:r>
          </w:p>
        </w:tc>
        <w:tc>
          <w:tcPr>
            <w:tcW w:type="dxa" w:w="6819"/>
            <w:shd w:fill="EEF2F7" w:val="clear"/>
            <w:tcMar>
              <w:top w:type="dxa" w:w="50"/>
              <w:left w:type="dxa" w:w="90"/>
              <w:bottom w:type="dxa" w:w="50"/>
              <w:right w:type="dxa" w:w="90"/>
            </w:tcMar>
          </w:tcPr>
          <w:p>
            <w:r>
              <w:rPr>
                <w:rFonts w:ascii="Calibri" w:cs="Calibri" w:eastAsia="Calibri" w:hAnsi="Calibri"/>
                <w:color w:val="1A2332"/>
                <w:sz w:val="18"/>
                <w:szCs w:val="18"/>
              </w:rPr>
              <w:t xml:space="preserve">Buildings, bridges, roads, industrial structures, structural &amp; earthworks, survey &amp; planning</w:t>
            </w:r>
          </w:p>
        </w:tc>
      </w:tr>
      <w:tr>
        <w:tc>
          <w:tcPr>
            <w:tcW w:type="dxa" w:w="2541"/>
            <w:tcMar>
              <w:top w:type="dxa" w:w="50"/>
              <w:left w:type="dxa" w:w="90"/>
              <w:bottom w:type="dxa" w:w="50"/>
              <w:right w:type="dxa" w:w="90"/>
            </w:tcMar>
          </w:tcPr>
          <w:p>
            <w:r>
              <w:rPr>
                <w:rFonts w:ascii="Calibri" w:cs="Calibri" w:eastAsia="Calibri" w:hAnsi="Calibri"/>
                <w:color w:val="1A2332"/>
                <w:sz w:val="18"/>
                <w:szCs w:val="18"/>
              </w:rPr>
              <w:t xml:space="preserve">Industrial Engineering</w:t>
            </w:r>
          </w:p>
        </w:tc>
        <w:tc>
          <w:tcPr>
            <w:tcW w:type="dxa" w:w="6819"/>
            <w:tcMar>
              <w:top w:type="dxa" w:w="50"/>
              <w:left w:type="dxa" w:w="90"/>
              <w:bottom w:type="dxa" w:w="50"/>
              <w:right w:type="dxa" w:w="90"/>
            </w:tcMar>
          </w:tcPr>
          <w:p>
            <w:r>
              <w:rPr>
                <w:rFonts w:ascii="Calibri" w:cs="Calibri" w:eastAsia="Calibri" w:hAnsi="Calibri"/>
                <w:color w:val="1A2332"/>
                <w:sz w:val="18"/>
                <w:szCs w:val="18"/>
              </w:rPr>
              <w:t xml:space="preserve">Fabrication, plant engineering and engineered installations for manufacturers</w:t>
            </w:r>
          </w:p>
        </w:tc>
      </w:tr>
      <w:tr>
        <w:tc>
          <w:tcPr>
            <w:tcW w:type="dxa" w:w="2541"/>
            <w:shd w:fill="EEF2F7" w:val="clear"/>
            <w:tcMar>
              <w:top w:type="dxa" w:w="50"/>
              <w:left w:type="dxa" w:w="90"/>
              <w:bottom w:type="dxa" w:w="50"/>
              <w:right w:type="dxa" w:w="90"/>
            </w:tcMar>
          </w:tcPr>
          <w:p>
            <w:r>
              <w:rPr>
                <w:rFonts w:ascii="Calibri" w:cs="Calibri" w:eastAsia="Calibri" w:hAnsi="Calibri"/>
                <w:color w:val="1A2332"/>
                <w:sz w:val="18"/>
                <w:szCs w:val="18"/>
              </w:rPr>
              <w:t xml:space="preserve">Sustainability</w:t>
            </w:r>
          </w:p>
        </w:tc>
        <w:tc>
          <w:tcPr>
            <w:tcW w:type="dxa" w:w="6819"/>
            <w:shd w:fill="EEF2F7" w:val="clear"/>
            <w:tcMar>
              <w:top w:type="dxa" w:w="50"/>
              <w:left w:type="dxa" w:w="90"/>
              <w:bottom w:type="dxa" w:w="50"/>
              <w:right w:type="dxa" w:w="90"/>
            </w:tcMar>
          </w:tcPr>
          <w:p>
            <w:r>
              <w:rPr>
                <w:rFonts w:ascii="Calibri" w:cs="Calibri" w:eastAsia="Calibri" w:hAnsi="Calibri"/>
                <w:color w:val="1A2332"/>
                <w:sz w:val="18"/>
                <w:szCs w:val="18"/>
              </w:rPr>
              <w:t xml:space="preserve">Solar (rooftop/ground-mount), rainwater harvesting, STP/ETP &amp; ZLD, energy audits, green buildings</w:t>
            </w:r>
          </w:p>
        </w:tc>
      </w:tr>
      <w:tr>
        <w:tc>
          <w:tcPr>
            <w:tcW w:type="dxa" w:w="2541"/>
            <w:tcMar>
              <w:top w:type="dxa" w:w="50"/>
              <w:left w:type="dxa" w:w="90"/>
              <w:bottom w:type="dxa" w:w="50"/>
              <w:right w:type="dxa" w:w="90"/>
            </w:tcMar>
          </w:tcPr>
          <w:p>
            <w:r>
              <w:rPr>
                <w:rFonts w:ascii="Calibri" w:cs="Calibri" w:eastAsia="Calibri" w:hAnsi="Calibri"/>
                <w:color w:val="1A2332"/>
                <w:sz w:val="18"/>
                <w:szCs w:val="18"/>
              </w:rPr>
              <w:t xml:space="preserve">Maintenance &amp; AMC</w:t>
            </w:r>
          </w:p>
        </w:tc>
        <w:tc>
          <w:tcPr>
            <w:tcW w:type="dxa" w:w="6819"/>
            <w:tcMar>
              <w:top w:type="dxa" w:w="50"/>
              <w:left w:type="dxa" w:w="90"/>
              <w:bottom w:type="dxa" w:w="50"/>
              <w:right w:type="dxa" w:w="90"/>
            </w:tcMar>
          </w:tcPr>
          <w:p>
            <w:r>
              <w:rPr>
                <w:rFonts w:ascii="Calibri" w:cs="Calibri" w:eastAsia="Calibri" w:hAnsi="Calibri"/>
                <w:color w:val="1A2332"/>
                <w:sz w:val="18"/>
                <w:szCs w:val="18"/>
              </w:rPr>
              <w:t xml:space="preserve">Preventive &amp; corrective maintenance for electrical, mechanical, civil, plumbing &amp; facilities — 24/7</w:t>
            </w:r>
          </w:p>
        </w:tc>
      </w:tr>
      <w:tr>
        <w:tc>
          <w:tcPr>
            <w:tcW w:type="dxa" w:w="2541"/>
            <w:shd w:fill="EEF2F7" w:val="clear"/>
            <w:tcMar>
              <w:top w:type="dxa" w:w="50"/>
              <w:left w:type="dxa" w:w="90"/>
              <w:bottom w:type="dxa" w:w="50"/>
              <w:right w:type="dxa" w:w="90"/>
            </w:tcMar>
          </w:tcPr>
          <w:p>
            <w:r>
              <w:rPr>
                <w:rFonts w:ascii="Calibri" w:cs="Calibri" w:eastAsia="Calibri" w:hAnsi="Calibri"/>
                <w:color w:val="1A2332"/>
                <w:sz w:val="18"/>
                <w:szCs w:val="18"/>
              </w:rPr>
              <w:t xml:space="preserve">Government Contracts</w:t>
            </w:r>
          </w:p>
        </w:tc>
        <w:tc>
          <w:tcPr>
            <w:tcW w:type="dxa" w:w="6819"/>
            <w:shd w:fill="EEF2F7" w:val="clear"/>
            <w:tcMar>
              <w:top w:type="dxa" w:w="50"/>
              <w:left w:type="dxa" w:w="90"/>
              <w:bottom w:type="dxa" w:w="50"/>
              <w:right w:type="dxa" w:w="90"/>
            </w:tcMar>
          </w:tcPr>
          <w:p>
            <w:r>
              <w:rPr>
                <w:rFonts w:ascii="Calibri" w:cs="Calibri" w:eastAsia="Calibri" w:hAnsi="Calibri"/>
                <w:color w:val="1A2332"/>
                <w:sz w:val="18"/>
                <w:szCs w:val="18"/>
              </w:rPr>
              <w:t xml:space="preserve">Tender-based execution via GeM &amp; IREPS with complete departmental documentation</w:t>
            </w:r>
          </w:p>
        </w:tc>
      </w:tr>
    </w:tbl>
    <w:p>
      <w:pPr>
        <w:pStyle w:val="Heading3"/>
        <w:spacing w:after="70" w:before="160"/>
      </w:pPr>
      <w:r>
        <w:rPr>
          <w:rFonts w:ascii="Calibri" w:cs="Calibri" w:eastAsia="Calibri" w:hAnsi="Calibri"/>
          <w:b/>
          <w:bCs/>
          <w:color w:val="D4A028"/>
          <w:sz w:val="21"/>
          <w:szCs w:val="21"/>
        </w:rPr>
        <w:t xml:space="preserve">Why Navgrow</w:t>
      </w:r>
    </w:p>
    <w:p>
      <w:pPr>
        <w:pStyle w:val="ListParagraph"/>
        <w:numPr>
          <w:ilvl w:val="0"/>
          <w:numId w:val="2"/>
        </w:numPr>
        <w:spacing w:after="60" w:line="270"/>
      </w:pPr>
      <w:r>
        <w:rPr>
          <w:rFonts w:ascii="Calibri" w:cs="Calibri" w:eastAsia="Calibri" w:hAnsi="Calibri"/>
          <w:color w:val="1A2332"/>
          <w:sz w:val="21"/>
          <w:szCs w:val="21"/>
        </w:rPr>
        <w:t xml:space="preserve">Approved-vendor discipline — trained to Indian Railways and departmental norms, ready for block-working and live-plant conditions.</w:t>
      </w:r>
    </w:p>
    <w:p>
      <w:pPr>
        <w:pStyle w:val="ListParagraph"/>
        <w:numPr>
          <w:ilvl w:val="0"/>
          <w:numId w:val="2"/>
        </w:numPr>
        <w:spacing w:after="60" w:line="270"/>
      </w:pPr>
      <w:r>
        <w:rPr>
          <w:rFonts w:ascii="Calibri" w:cs="Calibri" w:eastAsia="Calibri" w:hAnsi="Calibri"/>
          <w:color w:val="1A2332"/>
          <w:sz w:val="21"/>
          <w:szCs w:val="21"/>
        </w:rPr>
        <w:t xml:space="preserve">Quality-first — ISI-marked materials, tested components, and a full handover dossier (drawings, MTCs, certificates, reports).</w:t>
      </w:r>
    </w:p>
    <w:p>
      <w:pPr>
        <w:pStyle w:val="ListParagraph"/>
        <w:numPr>
          <w:ilvl w:val="0"/>
          <w:numId w:val="2"/>
        </w:numPr>
        <w:spacing w:after="60" w:line="270"/>
      </w:pPr>
      <w:r>
        <w:rPr>
          <w:rFonts w:ascii="Calibri" w:cs="Calibri" w:eastAsia="Calibri" w:hAnsi="Calibri"/>
          <w:color w:val="1A2332"/>
          <w:sz w:val="21"/>
          <w:szCs w:val="21"/>
        </w:rPr>
        <w:t xml:space="preserve">One accountable partner — design, supply, execution and maintenance under a single, named point of responsibility.</w:t>
      </w:r>
    </w:p>
    <w:p>
      <w:pPr>
        <w:pStyle w:val="ListParagraph"/>
        <w:numPr>
          <w:ilvl w:val="0"/>
          <w:numId w:val="2"/>
        </w:numPr>
        <w:spacing w:after="60" w:line="270"/>
      </w:pPr>
      <w:r>
        <w:rPr>
          <w:rFonts w:ascii="Calibri" w:cs="Calibri" w:eastAsia="Calibri" w:hAnsi="Calibri"/>
          <w:color w:val="1A2332"/>
          <w:sz w:val="21"/>
          <w:szCs w:val="21"/>
        </w:rPr>
        <w:t xml:space="preserve">On-time, on-budget — method-approved planning and financial discipline; 100% on-time delivery track record.</w:t>
      </w:r>
    </w:p>
    <w:p>
      <w:pPr>
        <w:pStyle w:val="ListParagraph"/>
        <w:numPr>
          <w:ilvl w:val="0"/>
          <w:numId w:val="2"/>
        </w:numPr>
        <w:spacing w:after="60" w:line="270"/>
      </w:pPr>
      <w:r>
        <w:rPr>
          <w:rFonts w:ascii="Calibri" w:cs="Calibri" w:eastAsia="Calibri" w:hAnsi="Calibri"/>
          <w:color w:val="1A2332"/>
          <w:sz w:val="21"/>
          <w:szCs w:val="21"/>
        </w:rPr>
        <w:t xml:space="preserve">GST-compliant billing and traceable measurement books &amp; approvals on every engagement.</w:t>
      </w:r>
    </w:p>
    <w:p>
      <w:pPr>
        <w:pStyle w:val="Heading3"/>
        <w:spacing w:after="70" w:before="160"/>
      </w:pPr>
      <w:r>
        <w:rPr>
          <w:rFonts w:ascii="Calibri" w:cs="Calibri" w:eastAsia="Calibri" w:hAnsi="Calibri"/>
          <w:b/>
          <w:bCs/>
          <w:color w:val="D4A028"/>
          <w:sz w:val="21"/>
          <w:szCs w:val="21"/>
        </w:rPr>
        <w:t xml:space="preserve">Company Snapshot</w:t>
      </w:r>
    </w:p>
    <w:tbl>
      <w:tblPr>
        <w:tblW w:type="dxa" w:w="9360"/>
        <w:tblBorders>
          <w:top w:val="single" w:color="DCE3EC" w:sz="4"/>
          <w:left w:val="single" w:color="DCE3EC" w:sz="4"/>
          <w:bottom w:val="single" w:color="DCE3EC" w:sz="4"/>
          <w:right w:val="single" w:color="DCE3EC" w:sz="4"/>
          <w:insideH w:val="single" w:color="DCE3EC" w:sz="4"/>
          <w:insideV w:val="single" w:color="DCE3EC" w:sz="4"/>
        </w:tblBorders>
      </w:tblPr>
      <w:tblGrid>
        <w:gridCol w:w="2674"/>
        <w:gridCol w:w="6686"/>
      </w:tblGrid>
      <w:tr>
        <w:trPr>
          <w:tblHeader/>
        </w:trPr>
        <w:tc>
          <w:tcPr>
            <w:tcW w:type="dxa" w:w="2674"/>
            <w:shd w:fill="13294B" w:val="clear"/>
            <w:tcMar>
              <w:top w:type="dxa" w:w="60"/>
              <w:left w:type="dxa" w:w="90"/>
              <w:bottom w:type="dxa" w:w="60"/>
              <w:right w:type="dxa" w:w="90"/>
            </w:tcMar>
          </w:tcPr>
          <w:p>
            <w:r>
              <w:rPr>
                <w:rFonts w:ascii="Calibri" w:cs="Calibri" w:eastAsia="Calibri" w:hAnsi="Calibri"/>
                <w:b/>
                <w:bCs/>
                <w:color w:val="FFFFFF"/>
                <w:sz w:val="19"/>
                <w:szCs w:val="19"/>
              </w:rPr>
              <w:t xml:space="preserve">Field</w:t>
            </w:r>
          </w:p>
        </w:tc>
        <w:tc>
          <w:tcPr>
            <w:tcW w:type="dxa" w:w="6686"/>
            <w:shd w:fill="13294B" w:val="clear"/>
            <w:tcMar>
              <w:top w:type="dxa" w:w="60"/>
              <w:left w:type="dxa" w:w="90"/>
              <w:bottom w:type="dxa" w:w="60"/>
              <w:right w:type="dxa" w:w="90"/>
            </w:tcMar>
          </w:tcPr>
          <w:p>
            <w:r>
              <w:rPr>
                <w:rFonts w:ascii="Calibri" w:cs="Calibri" w:eastAsia="Calibri" w:hAnsi="Calibri"/>
                <w:b/>
                <w:bCs/>
                <w:color w:val="FFFFFF"/>
                <w:sz w:val="19"/>
                <w:szCs w:val="19"/>
              </w:rPr>
              <w:t xml:space="preserve">Detail</w:t>
            </w:r>
          </w:p>
        </w:tc>
      </w:tr>
      <w:tr>
        <w:tc>
          <w:tcPr>
            <w:tcW w:type="dxa" w:w="2674"/>
            <w:tcMar>
              <w:top w:type="dxa" w:w="50"/>
              <w:left w:type="dxa" w:w="90"/>
              <w:bottom w:type="dxa" w:w="50"/>
              <w:right w:type="dxa" w:w="90"/>
            </w:tcMar>
          </w:tcPr>
          <w:p>
            <w:r>
              <w:rPr>
                <w:rFonts w:ascii="Calibri" w:cs="Calibri" w:eastAsia="Calibri" w:hAnsi="Calibri"/>
                <w:color w:val="1A2332"/>
                <w:sz w:val="18"/>
                <w:szCs w:val="18"/>
              </w:rPr>
              <w:t xml:space="preserve">Legal name</w:t>
            </w:r>
          </w:p>
        </w:tc>
        <w:tc>
          <w:tcPr>
            <w:tcW w:type="dxa" w:w="6686"/>
            <w:tcMar>
              <w:top w:type="dxa" w:w="50"/>
              <w:left w:type="dxa" w:w="90"/>
              <w:bottom w:type="dxa" w:w="50"/>
              <w:right w:type="dxa" w:w="90"/>
            </w:tcMar>
          </w:tcPr>
          <w:p>
            <w:r>
              <w:rPr>
                <w:rFonts w:ascii="Calibri" w:cs="Calibri" w:eastAsia="Calibri" w:hAnsi="Calibri"/>
                <w:color w:val="1A2332"/>
                <w:sz w:val="18"/>
                <w:szCs w:val="18"/>
              </w:rPr>
              <w:t xml:space="preserve">Navgrow Engineering Service Pvt. Ltd.</w:t>
            </w:r>
          </w:p>
        </w:tc>
      </w:tr>
      <w:tr>
        <w:tc>
          <w:tcPr>
            <w:tcW w:type="dxa" w:w="2674"/>
            <w:shd w:fill="EEF2F7" w:val="clear"/>
            <w:tcMar>
              <w:top w:type="dxa" w:w="50"/>
              <w:left w:type="dxa" w:w="90"/>
              <w:bottom w:type="dxa" w:w="50"/>
              <w:right w:type="dxa" w:w="90"/>
            </w:tcMar>
          </w:tcPr>
          <w:p>
            <w:r>
              <w:rPr>
                <w:rFonts w:ascii="Calibri" w:cs="Calibri" w:eastAsia="Calibri" w:hAnsi="Calibri"/>
                <w:color w:val="1A2332"/>
                <w:sz w:val="18"/>
                <w:szCs w:val="18"/>
              </w:rPr>
              <w:t xml:space="preserve">CIN</w:t>
            </w:r>
          </w:p>
        </w:tc>
        <w:tc>
          <w:tcPr>
            <w:tcW w:type="dxa" w:w="6686"/>
            <w:shd w:fill="EEF2F7" w:val="clear"/>
            <w:tcMar>
              <w:top w:type="dxa" w:w="50"/>
              <w:left w:type="dxa" w:w="90"/>
              <w:bottom w:type="dxa" w:w="50"/>
              <w:right w:type="dxa" w:w="90"/>
            </w:tcMar>
          </w:tcPr>
          <w:p>
            <w:r>
              <w:rPr>
                <w:rFonts w:ascii="Calibri" w:cs="Calibri" w:eastAsia="Calibri" w:hAnsi="Calibri"/>
                <w:color w:val="1A2332"/>
                <w:sz w:val="18"/>
                <w:szCs w:val="18"/>
              </w:rPr>
              <w:t xml:space="preserve">U74999WB2022PTC256012</w:t>
            </w:r>
          </w:p>
        </w:tc>
      </w:tr>
      <w:tr>
        <w:tc>
          <w:tcPr>
            <w:tcW w:type="dxa" w:w="2674"/>
            <w:tcMar>
              <w:top w:type="dxa" w:w="50"/>
              <w:left w:type="dxa" w:w="90"/>
              <w:bottom w:type="dxa" w:w="50"/>
              <w:right w:type="dxa" w:w="90"/>
            </w:tcMar>
          </w:tcPr>
          <w:p>
            <w:r>
              <w:rPr>
                <w:rFonts w:ascii="Calibri" w:cs="Calibri" w:eastAsia="Calibri" w:hAnsi="Calibri"/>
                <w:color w:val="1A2332"/>
                <w:sz w:val="18"/>
                <w:szCs w:val="18"/>
              </w:rPr>
              <w:t xml:space="preserve">Incorporated</w:t>
            </w:r>
          </w:p>
        </w:tc>
        <w:tc>
          <w:tcPr>
            <w:tcW w:type="dxa" w:w="6686"/>
            <w:tcMar>
              <w:top w:type="dxa" w:w="50"/>
              <w:left w:type="dxa" w:w="90"/>
              <w:bottom w:type="dxa" w:w="50"/>
              <w:right w:type="dxa" w:w="90"/>
            </w:tcMar>
          </w:tcPr>
          <w:p>
            <w:r>
              <w:rPr>
                <w:rFonts w:ascii="Calibri" w:cs="Calibri" w:eastAsia="Calibri" w:hAnsi="Calibri"/>
                <w:color w:val="1A2332"/>
                <w:sz w:val="18"/>
                <w:szCs w:val="18"/>
              </w:rPr>
              <w:t xml:space="preserve">2022  —  Siliguri, West Bengal</w:t>
            </w:r>
          </w:p>
        </w:tc>
      </w:tr>
      <w:tr>
        <w:tc>
          <w:tcPr>
            <w:tcW w:type="dxa" w:w="2674"/>
            <w:shd w:fill="EEF2F7" w:val="clear"/>
            <w:tcMar>
              <w:top w:type="dxa" w:w="50"/>
              <w:left w:type="dxa" w:w="90"/>
              <w:bottom w:type="dxa" w:w="50"/>
              <w:right w:type="dxa" w:w="90"/>
            </w:tcMar>
          </w:tcPr>
          <w:p>
            <w:r>
              <w:rPr>
                <w:rFonts w:ascii="Calibri" w:cs="Calibri" w:eastAsia="Calibri" w:hAnsi="Calibri"/>
                <w:color w:val="1A2332"/>
                <w:sz w:val="18"/>
                <w:szCs w:val="18"/>
              </w:rPr>
              <w:t xml:space="preserve">Recognitions</w:t>
            </w:r>
          </w:p>
        </w:tc>
        <w:tc>
          <w:tcPr>
            <w:tcW w:type="dxa" w:w="6686"/>
            <w:shd w:fill="EEF2F7" w:val="clear"/>
            <w:tcMar>
              <w:top w:type="dxa" w:w="50"/>
              <w:left w:type="dxa" w:w="90"/>
              <w:bottom w:type="dxa" w:w="50"/>
              <w:right w:type="dxa" w:w="90"/>
            </w:tcMar>
          </w:tcPr>
          <w:p>
            <w:r>
              <w:rPr>
                <w:rFonts w:ascii="Calibri" w:cs="Calibri" w:eastAsia="Calibri" w:hAnsi="Calibri"/>
                <w:color w:val="1A2332"/>
                <w:sz w:val="18"/>
                <w:szCs w:val="18"/>
              </w:rPr>
              <w:t xml:space="preserve">Startup India (DPIIT)  ·  Udyam MSME  ·  Make in India</w:t>
            </w:r>
          </w:p>
        </w:tc>
      </w:tr>
      <w:tr>
        <w:tc>
          <w:tcPr>
            <w:tcW w:type="dxa" w:w="2674"/>
            <w:tcMar>
              <w:top w:type="dxa" w:w="50"/>
              <w:left w:type="dxa" w:w="90"/>
              <w:bottom w:type="dxa" w:w="50"/>
              <w:right w:type="dxa" w:w="90"/>
            </w:tcMar>
          </w:tcPr>
          <w:p>
            <w:r>
              <w:rPr>
                <w:rFonts w:ascii="Calibri" w:cs="Calibri" w:eastAsia="Calibri" w:hAnsi="Calibri"/>
                <w:color w:val="1A2332"/>
                <w:sz w:val="18"/>
                <w:szCs w:val="18"/>
              </w:rPr>
              <w:t xml:space="preserve">Registered office</w:t>
            </w:r>
          </w:p>
        </w:tc>
        <w:tc>
          <w:tcPr>
            <w:tcW w:type="dxa" w:w="6686"/>
            <w:tcMar>
              <w:top w:type="dxa" w:w="50"/>
              <w:left w:type="dxa" w:w="90"/>
              <w:bottom w:type="dxa" w:w="50"/>
              <w:right w:type="dxa" w:w="90"/>
            </w:tcMar>
          </w:tcPr>
          <w:p>
            <w:r>
              <w:rPr>
                <w:rFonts w:ascii="Calibri" w:cs="Calibri" w:eastAsia="Calibri" w:hAnsi="Calibri"/>
                <w:color w:val="1A2332"/>
                <w:sz w:val="18"/>
                <w:szCs w:val="18"/>
              </w:rPr>
              <w:t xml:space="preserve">Ward No-47, Old Matigara Road, Pati Colony, Siliguri, WB – 734001</w:t>
            </w:r>
          </w:p>
        </w:tc>
      </w:tr>
      <w:tr>
        <w:tc>
          <w:tcPr>
            <w:tcW w:type="dxa" w:w="2674"/>
            <w:shd w:fill="EEF2F7" w:val="clear"/>
            <w:tcMar>
              <w:top w:type="dxa" w:w="50"/>
              <w:left w:type="dxa" w:w="90"/>
              <w:bottom w:type="dxa" w:w="50"/>
              <w:right w:type="dxa" w:w="90"/>
            </w:tcMar>
          </w:tcPr>
          <w:p>
            <w:r>
              <w:rPr>
                <w:rFonts w:ascii="Calibri" w:cs="Calibri" w:eastAsia="Calibri" w:hAnsi="Calibri"/>
                <w:color w:val="1A2332"/>
                <w:sz w:val="18"/>
                <w:szCs w:val="18"/>
              </w:rPr>
              <w:t xml:space="preserve">Contact</w:t>
            </w:r>
          </w:p>
        </w:tc>
        <w:tc>
          <w:tcPr>
            <w:tcW w:type="dxa" w:w="6686"/>
            <w:shd w:fill="EEF2F7" w:val="clear"/>
            <w:tcMar>
              <w:top w:type="dxa" w:w="50"/>
              <w:left w:type="dxa" w:w="90"/>
              <w:bottom w:type="dxa" w:w="50"/>
              <w:right w:type="dxa" w:w="90"/>
            </w:tcMar>
          </w:tcPr>
          <w:p>
            <w:r>
              <w:rPr>
                <w:rFonts w:ascii="Calibri" w:cs="Calibri" w:eastAsia="Calibri" w:hAnsi="Calibri"/>
                <w:color w:val="1A2332"/>
                <w:sz w:val="18"/>
                <w:szCs w:val="18"/>
              </w:rPr>
              <w:t xml:space="preserve">info@navgrow.org  ·  +91 89270 70972  ·  www.navgrow.org</w:t>
            </w:r>
          </w:p>
        </w:tc>
      </w:tr>
      <w:tr>
        <w:tc>
          <w:tcPr>
            <w:tcW w:type="dxa" w:w="2674"/>
            <w:tcMar>
              <w:top w:type="dxa" w:w="50"/>
              <w:left w:type="dxa" w:w="90"/>
              <w:bottom w:type="dxa" w:w="50"/>
              <w:right w:type="dxa" w:w="90"/>
            </w:tcMar>
          </w:tcPr>
          <w:p>
            <w:r>
              <w:rPr>
                <w:rFonts w:ascii="Calibri" w:cs="Calibri" w:eastAsia="Calibri" w:hAnsi="Calibri"/>
                <w:color w:val="1A2332"/>
                <w:sz w:val="18"/>
                <w:szCs w:val="18"/>
              </w:rPr>
              <w:t xml:space="preserve">Procurement channels</w:t>
            </w:r>
          </w:p>
        </w:tc>
        <w:tc>
          <w:tcPr>
            <w:tcW w:type="dxa" w:w="6686"/>
            <w:tcMar>
              <w:top w:type="dxa" w:w="50"/>
              <w:left w:type="dxa" w:w="90"/>
              <w:bottom w:type="dxa" w:w="50"/>
              <w:right w:type="dxa" w:w="90"/>
            </w:tcMar>
          </w:tcPr>
          <w:p>
            <w:r>
              <w:rPr>
                <w:rFonts w:ascii="Calibri" w:cs="Calibri" w:eastAsia="Calibri" w:hAnsi="Calibri"/>
                <w:color w:val="1A2332"/>
                <w:sz w:val="18"/>
                <w:szCs w:val="18"/>
              </w:rPr>
              <w:t xml:space="preserve">GeM  ·  IREPS  ·  direct tender &amp; RFQ</w:t>
            </w:r>
          </w:p>
        </w:tc>
      </w:tr>
    </w:tbl>
    <w:tbl>
      <w:tblPr>
        <w:tblW w:type="dxa" w:w="9360"/>
        <w:tblBorders>
          <w:top w:val="single" w:color="D4A028" w:sz="4"/>
          <w:left w:val="single" w:color="D4A028" w:sz="24"/>
          <w:bottom w:val="single" w:color="D4A028" w:sz="4"/>
          <w:right w:val="single" w:color="D4A028" w:sz="4"/>
          <w:insideH w:val="single" w:color="D4A028" w:sz="4"/>
          <w:insideV w:val="single" w:color="D4A028" w:sz="4"/>
        </w:tblBorders>
      </w:tblPr>
      <w:tblGrid>
        <w:gridCol w:w="9360"/>
      </w:tblGrid>
      <w:tr>
        <w:tc>
          <w:tcPr>
            <w:shd w:fill="F1F5FA" w:val="clear"/>
            <w:tcMar>
              <w:top w:type="dxa" w:w="120"/>
              <w:left w:type="dxa" w:w="160"/>
              <w:bottom w:type="dxa" w:w="120"/>
              <w:right w:type="dxa" w:w="160"/>
            </w:tcMar>
          </w:tcPr>
          <w:p>
            <w:pPr>
              <w:spacing w:after="40"/>
            </w:pPr>
            <w:r>
              <w:rPr>
                <w:rFonts w:ascii="Calibri" w:cs="Calibri" w:eastAsia="Calibri" w:hAnsi="Calibri"/>
                <w:b/>
                <w:bCs/>
                <w:color w:val="D4A028"/>
                <w:spacing w:val="40"/>
                <w:sz w:val="16"/>
                <w:szCs w:val="16"/>
              </w:rPr>
              <w:t xml:space="preserve">OUR COMMITMENT</w:t>
            </w:r>
          </w:p>
          <w:p>
            <w:r>
              <w:rPr>
                <w:rFonts w:ascii="Calibri" w:cs="Calibri" w:eastAsia="Calibri" w:hAnsi="Calibri"/>
                <w:i/>
                <w:iCs/>
                <w:color w:val="1A2332"/>
                <w:sz w:val="20"/>
                <w:szCs w:val="20"/>
              </w:rPr>
              <w:t xml:space="preserve">We deliver work that is safe to build, built to last, and ready for audit — on every single project.</w:t>
            </w:r>
          </w:p>
        </w:tc>
      </w:tr>
    </w:tbl>
    <w:p>
      <w:pPr>
        <w:spacing w:before="140"/>
        <w:jc w:val="center"/>
      </w:pPr>
      <w:r>
        <w:rPr>
          <w:rFonts w:ascii="Calibri" w:cs="Calibri" w:eastAsia="Calibri" w:hAnsi="Calibri"/>
          <w:i/>
          <w:iCs/>
          <w:color w:val="5A6B7B"/>
          <w:sz w:val="16"/>
          <w:szCs w:val="16"/>
        </w:rPr>
        <w:t xml:space="preserve">Navgrow Engineering Service Pvt. Ltd.   •   Engineering Excellence. Sustainable Solutions.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C" w:sz="6" w:space="4"/>
      </w:pBdr>
      <w:tabs>
        <w:tab w:val="right" w:pos="9026"/>
      </w:tabs>
      <w:spacing w:before="40"/>
    </w:pPr>
    <w:r>
      <w:rPr>
        <w:rFonts w:ascii="Calibri" w:cs="Calibri" w:eastAsia="Calibri" w:hAnsi="Calibri"/>
        <w:color w:val="5A6B7B"/>
        <w:sz w:val="14"/>
        <w:szCs w:val="14"/>
      </w:rPr>
      <w:t xml:space="preserve">Navgrow Engineering  •  Confidential</w:t>
    </w:r>
    <w:r>
      <w:rPr>
        <w:rFonts w:ascii="Calibri" w:cs="Calibri" w:eastAsia="Calibri" w:hAnsi="Calibri"/>
        <w:sz w:val="14"/>
        <w:szCs w:val="14"/>
      </w:rPr>
      <w:t xml:space="preserve">	</w:t>
    </w:r>
    <w:r>
      <w:rPr>
        <w:rFonts w:ascii="Calibri" w:cs="Calibri" w:eastAsia="Calibri" w:hAnsi="Calibri"/>
        <w:color w:val="5A6B7B"/>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p>
    <w:pPr>
      <w:spacing w:before="20"/>
    </w:pPr>
    <w:r>
      <w:rPr>
        <w:rFonts w:ascii="Calibri" w:cs="Calibri" w:eastAsia="Calibri" w:hAnsi="Calibri"/>
        <w:color w:val="9AA7B4"/>
        <w:sz w:val="11"/>
        <w:szCs w:val="11"/>
      </w:rPr>
      <w:t xml:space="preserve">© 2026 Navgrow Engineering Service Pvt. Ltd. All rights reserved. CIN: U74999WB2022PTC256012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D4A028"/>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13294B"/>
      </w:rPr>
    </w:lvl>
  </w:abstractNum>
  <w:abstractNum w:abstractNumId="4" w15:restartNumberingAfterBreak="0">
    <w:multiLevelType w:val="hybridMultilevel"/>
    <w:lvl w:ilvl="0" w15:tentative="1">
      <w:start w:val="1"/>
      <w:numFmt w:val="decimal"/>
      <w:lvlText w:val="%1."/>
      <w:lvlJc w:val="left"/>
      <w:pPr>
        <w:ind w:left="360" w:hanging="260"/>
      </w:pPr>
      <w:rPr>
        <w:b/>
        <w:bCs/>
        <w:color w:val="13294B"/>
      </w:rPr>
    </w:lvl>
  </w:abstractNum>
  <w:abstractNum w:abstractNumId="5" w15:restartNumberingAfterBreak="0">
    <w:multiLevelType w:val="hybridMultilevel"/>
    <w:lvl w:ilvl="0" w15:tentative="1">
      <w:start w:val="1"/>
      <w:numFmt w:val="decimal"/>
      <w:lvlText w:val="%1."/>
      <w:lvlJc w:val="left"/>
      <w:pPr>
        <w:ind w:left="360" w:hanging="260"/>
      </w:pPr>
      <w:rPr>
        <w:b/>
        <w:bCs/>
        <w:color w:val="1329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6db13f87841c52a767d87635600d8ddbd789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Navgrow Capabilities Statement</dc:title>
  <dc:creator>Navgrow Engineering Service Pvt. Ltd.</dc:creator>
  <dc:description>Capabilities Statement</dc:description>
  <cp:lastModifiedBy>Un-named</cp:lastModifiedBy>
  <cp:revision>1</cp:revision>
  <dcterms:created xsi:type="dcterms:W3CDTF">2026-07-30T15:33:20.146Z</dcterms:created>
  <dcterms:modified xsi:type="dcterms:W3CDTF">2026-07-30T15:33:20.158Z</dcterms:modified>
</cp:coreProperties>
</file>

<file path=docProps/custom.xml><?xml version="1.0" encoding="utf-8"?>
<Properties xmlns="http://schemas.openxmlformats.org/officeDocument/2006/custom-properties" xmlns:vt="http://schemas.openxmlformats.org/officeDocument/2006/docPropsVTypes"/>
</file>