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100"/>
        <w:jc w:val="center"/>
      </w:pPr>
      <w:r>
        <w:drawing>
          <wp:inline distT="0" distB="0" distL="0" distR="0">
            <wp:extent cx="2286000" cy="742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D4A028"/>
          <w:spacing w:val="60"/>
          <w:sz w:val="22"/>
          <w:szCs w:val="22"/>
        </w:rPr>
        <w:t xml:space="preserve">EXECUTIVE BRIEF</w:t>
      </w:r>
    </w:p>
    <w:p>
      <w:pPr>
        <w:pBdr>
          <w:bottom w:val="single" w:color="D4A028" w:sz="12" w:space="6"/>
        </w:pBdr>
        <w:spacing w:after="160"/>
        <w:jc w:val="center"/>
      </w:pPr>
      <w:r>
        <w:rPr>
          <w:rFonts w:ascii="Cambria" w:cs="Cambria" w:eastAsia="Cambria" w:hAnsi="Cambria"/>
          <w:b/>
          <w:bCs/>
          <w:color w:val="13294B"/>
          <w:sz w:val="26"/>
          <w:szCs w:val="26"/>
        </w:rPr>
        <w:t xml:space="preserve">Engineering India’s Sustainable Infrastructure — and its Digital Backbone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b/>
          <w:bCs/>
          <w:color w:val="13294B"/>
          <w:sz w:val="21"/>
          <w:szCs w:val="21"/>
        </w:rPr>
        <w:t xml:space="preserve">Navgrow Engineering Service Pvt. Ltd.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is a DPIIT-recognised, MSME-registered engineering company that pairs on-the-ground delivery — railways, industrial, civil and water infrastructure — with a proprietary digital platform for B2B commerce. One brand sells both services and products, fully GST-compliant, run from a single admin console.</w:t>
      </w:r>
    </w:p>
    <w:p>
      <w:pPr>
        <w:pStyle w:val="Heading3"/>
        <w:spacing w:after="70" w:before="160"/>
      </w:pPr>
      <w:r>
        <w:rPr>
          <w:rFonts w:ascii="Calibri" w:cs="Calibri" w:eastAsia="Calibri" w:hAnsi="Calibri"/>
          <w:b/>
          <w:bCs/>
          <w:color w:val="D4A028"/>
          <w:sz w:val="21"/>
          <w:szCs w:val="21"/>
        </w:rPr>
        <w:t xml:space="preserve">The Opportunity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India’s infrastructure pipeline exceeds $1.4T and its B2B commerce is moving online, yet regional engineering suppliers still run on offline procurement, manual quotes, and weak digital discovery. Navgrow closes that gap.</w:t>
      </w:r>
    </w:p>
    <w:p>
      <w:pPr>
        <w:pStyle w:val="Heading3"/>
        <w:spacing w:after="70" w:before="160"/>
      </w:pPr>
      <w:r>
        <w:rPr>
          <w:rFonts w:ascii="Calibri" w:cs="Calibri" w:eastAsia="Calibri" w:hAnsi="Calibri"/>
          <w:b/>
          <w:bCs/>
          <w:color w:val="D4A028"/>
          <w:sz w:val="21"/>
          <w:szCs w:val="21"/>
        </w:rPr>
        <w:t xml:space="preserve">What We’ve Built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A production-ready storefront: catalogue, GST-inclusive pricing, cart, Razorpay + Cash on Delivery checkout.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An RFQ and instant-quote engine that converts enquiries into orders.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A full operations console: coupons, delivery zones, tax rules, orders, content, analytics, notifications.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SEO-ready, discoverable pages with structured data — and DLT-compliant, configurable SMS/email.</w:t>
      </w:r>
    </w:p>
    <w:p>
      <w:pPr>
        <w:pStyle w:val="Heading3"/>
        <w:spacing w:after="70" w:before="160"/>
      </w:pPr>
      <w:r>
        <w:rPr>
          <w:rFonts w:ascii="Calibri" w:cs="Calibri" w:eastAsia="Calibri" w:hAnsi="Calibri"/>
          <w:b/>
          <w:bCs/>
          <w:color w:val="D4A028"/>
          <w:sz w:val="21"/>
          <w:szCs w:val="21"/>
        </w:rPr>
        <w:t xml:space="preserve">Why Navgrow Wins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Services + commerce in one — capturing the whole buyer journey, from project to parts.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Owned technology, not a rented template — fast to adapt, cheap to scale.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Compliance-first (GST, HSN/SAC, DLT, audit logs) — enterprise and government ready.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A regional moat in North Bengal — a gateway to the Northeast and neighbouring countries — plus credentials (DPIIT, MSME) that open tenders and schemes.</w:t>
      </w:r>
    </w:p>
    <w:tbl>
      <w:tblPr>
        <w:tblW w:type="dxa" w:w="9360"/>
        <w:tblBorders>
          <w:top w:val="single" w:color="D4A028" w:sz="4"/>
          <w:left w:val="single" w:color="D4A028" w:sz="24"/>
          <w:bottom w:val="single" w:color="D4A028" w:sz="4"/>
          <w:right w:val="single" w:color="D4A028" w:sz="4"/>
          <w:insideH w:val="single" w:color="D4A028" w:sz="4"/>
          <w:insideV w:val="single" w:color="D4A028" w:sz="4"/>
        </w:tblBorders>
      </w:tblPr>
      <w:tblGrid>
        <w:gridCol w:w="9360"/>
      </w:tblGrid>
      <w:tr>
        <w:tc>
          <w:tcPr>
            <w:shd w:fill="F1F5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D4A028"/>
                <w:spacing w:val="40"/>
                <w:sz w:val="16"/>
                <w:szCs w:val="16"/>
              </w:rPr>
              <w:t xml:space="preserve">THE ASK</w:t>
            </w:r>
          </w:p>
          <w:p>
            <w:r>
              <w:rPr>
                <w:rFonts w:ascii="Calibri" w:cs="Calibri" w:eastAsia="Calibri" w:hAnsi="Calibri"/>
                <w:i/>
                <w:iCs/>
                <w:color w:val="1A2332"/>
                <w:sz w:val="20"/>
                <w:szCs w:val="20"/>
              </w:rPr>
              <w:t xml:space="preserve">We’re raising to accelerate what’s already built — deepening inventory, driving growth and delivery, and expanding the team — to turn a working platform and regional base into a category leader.</w:t>
            </w:r>
          </w:p>
        </w:tc>
      </w:tr>
    </w:tbl>
    <w:p>
      <w:pPr>
        <w:spacing w:before="160"/>
        <w:jc w:val="center"/>
      </w:pPr>
      <w:r>
        <w:rPr>
          <w:rFonts w:ascii="Calibri" w:cs="Calibri" w:eastAsia="Calibri" w:hAnsi="Calibri"/>
          <w:b/>
          <w:bCs/>
          <w:color w:val="13294B"/>
          <w:sz w:val="18"/>
          <w:szCs w:val="18"/>
        </w:rPr>
        <w:t xml:space="preserve">Navgrow Engineering Service Pvt. Ltd.   •   </w:t>
      </w:r>
      <w:r>
        <w:rPr>
          <w:rFonts w:ascii="Calibri" w:cs="Calibri" w:eastAsia="Calibri" w:hAnsi="Calibri"/>
          <w:color w:val="1A2332"/>
          <w:sz w:val="18"/>
          <w:szCs w:val="18"/>
        </w:rPr>
        <w:t xml:space="preserve">info@navgrow.org   •   +91 89270 70972</w:t>
      </w:r>
    </w:p>
    <w:p>
      <w:pPr>
        <w:spacing w:before="20"/>
        <w:jc w:val="center"/>
      </w:pPr>
      <w:r>
        <w:rPr>
          <w:rFonts w:ascii="Calibri" w:cs="Calibri" w:eastAsia="Calibri" w:hAnsi="Calibri"/>
          <w:color w:val="5A6B7B"/>
          <w:sz w:val="16"/>
          <w:szCs w:val="16"/>
        </w:rPr>
        <w:t xml:space="preserve">www.navgrow.org   •   Siliguri, West Bengal, India   •   CIN: U74999WB2022PTC256012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CE3EC" w:sz="6" w:space="4"/>
      </w:pBdr>
      <w:tabs>
        <w:tab w:val="right" w:pos="9026"/>
      </w:tabs>
      <w:spacing w:before="40"/>
    </w:pPr>
    <w:r>
      <w:rPr>
        <w:rFonts w:ascii="Calibri" w:cs="Calibri" w:eastAsia="Calibri" w:hAnsi="Calibri"/>
        <w:color w:val="5A6B7B"/>
        <w:sz w:val="14"/>
        <w:szCs w:val="14"/>
      </w:rPr>
      <w:t xml:space="preserve">Navgrow Engineering  •  Confidential</w:t>
    </w:r>
    <w:r>
      <w:rPr>
        <w:rFonts w:ascii="Calibri" w:cs="Calibri" w:eastAsia="Calibri" w:hAnsi="Calibri"/>
        <w:sz w:val="14"/>
        <w:szCs w:val="14"/>
      </w:rPr>
      <w:t xml:space="preserve">	</w:t>
    </w:r>
    <w:r>
      <w:rPr>
        <w:rFonts w:ascii="Calibri" w:cs="Calibri" w:eastAsia="Calibri" w:hAnsi="Calibri"/>
        <w:color w:val="5A6B7B"/>
        <w:sz w:val="14"/>
        <w:szCs w:val="14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  <w:p>
    <w:pPr>
      <w:spacing w:before="20"/>
    </w:pPr>
    <w:r>
      <w:rPr>
        <w:rFonts w:ascii="Calibri" w:cs="Calibri" w:eastAsia="Calibri" w:hAnsi="Calibri"/>
        <w:color w:val="9AA7B4"/>
        <w:sz w:val="11"/>
        <w:szCs w:val="11"/>
      </w:rPr>
      <w:t xml:space="preserve">© 2026 Navgrow Engineering Service Pvt. Ltd. All rights reserved. CIN: U74999WB2022PTC256012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  <w:rPr>
        <w:color w:val="D4A028"/>
      </w:rPr>
    </w:lvl>
    <w:lvl w:ilvl="1" w15:tentative="1">
      <w:start w:val="1"/>
      <w:numFmt w:val="bullet"/>
      <w:lvlText w:val="◦"/>
      <w:lvlJc w:val="left"/>
      <w:pPr>
        <w:ind w:left="72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  <w:rPr>
        <w:b/>
        <w:bCs/>
        <w:color w:val="13294B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  <w:rPr>
        <w:b/>
        <w:bCs/>
        <w:color w:val="13294B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  <w:rPr>
        <w:b/>
        <w:bCs/>
        <w:color w:val="13294B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33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1c6db13f87841c52a767d87635600d8ddbd789c7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Navgrow Executive Brief</dc:title>
  <dc:creator>Navgrow Engineering Service Pvt. Ltd.</dc:creator>
  <dc:description>One-page executive brief</dc:description>
  <cp:lastModifiedBy>Un-named</cp:lastModifiedBy>
  <cp:revision>1</cp:revision>
  <dcterms:created xsi:type="dcterms:W3CDTF">2026-07-30T15:33:33.628Z</dcterms:created>
  <dcterms:modified xsi:type="dcterms:W3CDTF">2026-07-30T15:33:33.628Z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