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219132" cy="862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9132" cy="862013"/>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 KOKLES ĪRES LĪGUMS </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259" w:lineRule="auto"/>
        <w:ind w:right="-483"/>
        <w:jc w:val="both"/>
        <w:rPr>
          <w:rFonts w:ascii="Times New Roman" w:cs="Times New Roman" w:eastAsia="Times New Roman" w:hAnsi="Times New Roman"/>
          <w:sz w:val="24"/>
          <w:szCs w:val="24"/>
        </w:rPr>
      </w:pPr>
      <w:r w:rsidDel="00000000" w:rsidR="00000000" w:rsidRPr="00000000">
        <w:rPr>
          <w:rtl w:val="0"/>
        </w:rPr>
      </w:r>
    </w:p>
    <w:tbl>
      <w:tblPr>
        <w:tblStyle w:val="Table1"/>
        <w:tblW w:w="906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90"/>
        <w:gridCol w:w="5070"/>
        <w:tblGridChange w:id="0">
          <w:tblGrid>
            <w:gridCol w:w="3990"/>
            <w:gridCol w:w="5070"/>
          </w:tblGrid>
        </w:tblGridChange>
      </w:tblGrid>
      <w:tr>
        <w:tc>
          <w:tcPr>
            <w:vAlign w:val="center"/>
          </w:tcPr>
          <w:p w:rsidR="00000000" w:rsidDel="00000000" w:rsidP="00000000" w:rsidRDefault="00000000" w:rsidRPr="00000000" w14:paraId="00000004">
            <w:pPr>
              <w:spacing w:line="240" w:lineRule="auto"/>
              <w:ind w:right="-48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IZĪRĒTĀJS:</w:t>
            </w:r>
          </w:p>
        </w:tc>
        <w:tc>
          <w:tcPr>
            <w:vAlign w:val="center"/>
          </w:tcPr>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SIA Kokļu mežs</w:t>
            </w:r>
          </w:p>
        </w:tc>
      </w:tr>
      <w:tr>
        <w:tc>
          <w:tcPr>
            <w:vAlign w:val="center"/>
          </w:tcPr>
          <w:p w:rsidR="00000000" w:rsidDel="00000000" w:rsidP="00000000" w:rsidRDefault="00000000" w:rsidRPr="00000000" w14:paraId="00000006">
            <w:pPr>
              <w:spacing w:line="240" w:lineRule="auto"/>
              <w:ind w:right="-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reģ. Nr.:</w:t>
            </w:r>
          </w:p>
        </w:tc>
        <w:tc>
          <w:tcPr>
            <w:vAlign w:val="center"/>
          </w:tcPr>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Reģ.Nr.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44103120159</w:t>
            </w:r>
          </w:p>
        </w:tc>
      </w:tr>
      <w:tr>
        <w:tc>
          <w:tcPr>
            <w:vAlign w:val="center"/>
          </w:tcPr>
          <w:p w:rsidR="00000000" w:rsidDel="00000000" w:rsidP="00000000" w:rsidRDefault="00000000" w:rsidRPr="00000000" w14:paraId="00000008">
            <w:pPr>
              <w:spacing w:line="240" w:lineRule="auto"/>
              <w:ind w:right="-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jur. adrese:</w:t>
            </w:r>
          </w:p>
        </w:tc>
        <w:tc>
          <w:tcPr>
            <w:vAlign w:val="center"/>
          </w:tcPr>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Jūras iela 21-11, LV-4001, Limbaži</w:t>
            </w:r>
          </w:p>
        </w:tc>
      </w:tr>
      <w:tr>
        <w:tc>
          <w:tcPr>
            <w:vAlign w:val="center"/>
          </w:tcPr>
          <w:p w:rsidR="00000000" w:rsidDel="00000000" w:rsidP="00000000" w:rsidRDefault="00000000" w:rsidRPr="00000000" w14:paraId="0000000A">
            <w:pPr>
              <w:spacing w:line="240" w:lineRule="auto"/>
              <w:ind w:right="-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Bankas rekvizīti:</w:t>
            </w:r>
          </w:p>
        </w:tc>
        <w:tc>
          <w:tcPr>
            <w:vAlign w:val="center"/>
          </w:tcPr>
          <w:p w:rsidR="00000000" w:rsidDel="00000000" w:rsidP="00000000" w:rsidRDefault="00000000" w:rsidRPr="00000000" w14:paraId="0000000B">
            <w:pPr>
              <w:spacing w:line="240" w:lineRule="auto"/>
              <w:ind w:right="-48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Swedbank LV32HABA0551046058921</w:t>
            </w:r>
          </w:p>
        </w:tc>
      </w:tr>
      <w:tr>
        <w:tc>
          <w:tcPr>
            <w:tcBorders>
              <w:bottom w:color="000000" w:space="0" w:sz="8" w:val="single"/>
            </w:tcBorders>
            <w:vAlign w:val="center"/>
          </w:tcPr>
          <w:p w:rsidR="00000000" w:rsidDel="00000000" w:rsidP="00000000" w:rsidRDefault="00000000" w:rsidRPr="00000000" w14:paraId="0000000C">
            <w:pPr>
              <w:spacing w:line="240" w:lineRule="auto"/>
              <w:ind w:right="-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e-pasts:</w:t>
            </w:r>
          </w:p>
        </w:tc>
        <w:tc>
          <w:tcPr>
            <w:tcBorders>
              <w:bottom w:color="000000" w:space="0" w:sz="8" w:val="single"/>
            </w:tcBorders>
            <w:vAlign w:val="center"/>
          </w:tcPr>
          <w:p w:rsidR="00000000" w:rsidDel="00000000" w:rsidP="00000000" w:rsidRDefault="00000000" w:rsidRPr="00000000" w14:paraId="0000000D">
            <w:pPr>
              <w:spacing w:line="240" w:lineRule="auto"/>
              <w:ind w:right="-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koklumezs@gmail.com</w:t>
            </w:r>
          </w:p>
        </w:tc>
      </w:tr>
      <w:t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E">
            <w:pPr>
              <w:spacing w:line="240" w:lineRule="auto"/>
              <w:ind w:right="-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tālrunis: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F">
            <w:pPr>
              <w:spacing w:line="240" w:lineRule="auto"/>
              <w:ind w:right="-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+371 28630426</w:t>
            </w:r>
          </w:p>
        </w:tc>
      </w:tr>
    </w:tbl>
    <w:p w:rsidR="00000000" w:rsidDel="00000000" w:rsidP="00000000" w:rsidRDefault="00000000" w:rsidRPr="00000000" w14:paraId="00000010">
      <w:pPr>
        <w:spacing w:after="160" w:line="259" w:lineRule="auto"/>
        <w:ind w:right="-483"/>
        <w:jc w:val="both"/>
        <w:rPr>
          <w:rFonts w:ascii="Times New Roman" w:cs="Times New Roman" w:eastAsia="Times New Roman" w:hAnsi="Times New Roman"/>
          <w:sz w:val="24"/>
          <w:szCs w:val="24"/>
        </w:rPr>
      </w:pPr>
      <w:r w:rsidDel="00000000" w:rsidR="00000000" w:rsidRPr="00000000">
        <w:rPr>
          <w:rtl w:val="0"/>
        </w:rPr>
      </w:r>
    </w:p>
    <w:tbl>
      <w:tblPr>
        <w:tblStyle w:val="Table2"/>
        <w:tblW w:w="906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90"/>
        <w:gridCol w:w="5070"/>
        <w:tblGridChange w:id="0">
          <w:tblGrid>
            <w:gridCol w:w="3990"/>
            <w:gridCol w:w="5070"/>
          </w:tblGrid>
        </w:tblGridChange>
      </w:tblGrid>
      <w:t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1">
            <w:pPr>
              <w:spacing w:line="240" w:lineRule="auto"/>
              <w:ind w:right="-48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right="-48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INVENTĀRS: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3">
            <w:pPr>
              <w:spacing w:line="240" w:lineRule="auto"/>
              <w:ind w:right="-483"/>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tcBorders>
            <w:vAlign w:val="center"/>
          </w:tcPr>
          <w:p w:rsidR="00000000" w:rsidDel="00000000" w:rsidP="00000000" w:rsidRDefault="00000000" w:rsidRPr="00000000" w14:paraId="00000014">
            <w:pPr>
              <w:spacing w:line="240" w:lineRule="auto"/>
              <w:ind w:right="-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Apraksts:</w:t>
            </w:r>
          </w:p>
        </w:tc>
        <w:tc>
          <w:tcPr>
            <w:tcBorders>
              <w:top w:color="000000" w:space="0" w:sz="8" w:val="single"/>
            </w:tcBorders>
            <w:vAlign w:val="center"/>
          </w:tcPr>
          <w:p w:rsidR="00000000" w:rsidDel="00000000" w:rsidP="00000000" w:rsidRDefault="00000000" w:rsidRPr="00000000" w14:paraId="00000015">
            <w:pPr>
              <w:spacing w:line="240" w:lineRule="auto"/>
              <w:ind w:right="-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viena tradicionālā mācību kokle, 11 stīgas</w:t>
            </w:r>
          </w:p>
        </w:tc>
      </w:tr>
      <w:tr>
        <w:tc>
          <w:tcPr>
            <w:vAlign w:val="center"/>
          </w:tcPr>
          <w:p w:rsidR="00000000" w:rsidDel="00000000" w:rsidP="00000000" w:rsidRDefault="00000000" w:rsidRPr="00000000" w14:paraId="00000016">
            <w:pPr>
              <w:spacing w:line="240" w:lineRule="auto"/>
              <w:ind w:right="-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Papildus piederumi katrai koklei:</w:t>
            </w:r>
          </w:p>
        </w:tc>
        <w:tc>
          <w:tcPr>
            <w:vAlign w:val="center"/>
          </w:tcPr>
          <w:p w:rsidR="00000000" w:rsidDel="00000000" w:rsidP="00000000" w:rsidRDefault="00000000" w:rsidRPr="00000000" w14:paraId="00000017">
            <w:pPr>
              <w:spacing w:line="240" w:lineRule="auto"/>
              <w:ind w:right="-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skaņojamā atslēga</w:t>
            </w:r>
          </w:p>
        </w:tc>
      </w:tr>
      <w:tr>
        <w:tc>
          <w:tcPr>
            <w:vAlign w:val="center"/>
          </w:tcPr>
          <w:p w:rsidR="00000000" w:rsidDel="00000000" w:rsidP="00000000" w:rsidRDefault="00000000" w:rsidRPr="00000000" w14:paraId="00000018">
            <w:pPr>
              <w:spacing w:line="240" w:lineRule="auto"/>
              <w:ind w:right="-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Katras kokles vērtība:</w:t>
            </w:r>
          </w:p>
        </w:tc>
        <w:tc>
          <w:tcPr>
            <w:vAlign w:val="center"/>
          </w:tcPr>
          <w:p w:rsidR="00000000" w:rsidDel="00000000" w:rsidP="00000000" w:rsidRDefault="00000000" w:rsidRPr="00000000" w14:paraId="00000019">
            <w:pPr>
              <w:spacing w:line="240" w:lineRule="auto"/>
              <w:ind w:right="-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130.00 EUR</w:t>
            </w:r>
          </w:p>
        </w:tc>
      </w:tr>
      <w:tr>
        <w:tc>
          <w:tcPr>
            <w:vAlign w:val="center"/>
          </w:tcPr>
          <w:p w:rsidR="00000000" w:rsidDel="00000000" w:rsidP="00000000" w:rsidRDefault="00000000" w:rsidRPr="00000000" w14:paraId="0000001A">
            <w:pPr>
              <w:spacing w:line="240" w:lineRule="auto"/>
              <w:ind w:right="-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Īres maksa mēnesī</w:t>
            </w:r>
            <w:r w:rsidDel="00000000" w:rsidR="00000000" w:rsidRPr="00000000">
              <w:rPr>
                <w:rtl w:val="0"/>
              </w:rPr>
            </w:r>
          </w:p>
        </w:tc>
        <w:tc>
          <w:tcPr>
            <w:vAlign w:val="center"/>
          </w:tcPr>
          <w:p w:rsidR="00000000" w:rsidDel="00000000" w:rsidP="00000000" w:rsidRDefault="00000000" w:rsidRPr="00000000" w14:paraId="0000001B">
            <w:pPr>
              <w:spacing w:line="240" w:lineRule="auto"/>
              <w:ind w:right="-48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10.00  EUR</w:t>
            </w:r>
          </w:p>
        </w:tc>
      </w:tr>
      <w:tr>
        <w:tc>
          <w:tcPr>
            <w:vAlign w:val="center"/>
          </w:tcPr>
          <w:p w:rsidR="00000000" w:rsidDel="00000000" w:rsidP="00000000" w:rsidRDefault="00000000" w:rsidRPr="00000000" w14:paraId="0000001C">
            <w:pPr>
              <w:spacing w:line="240" w:lineRule="auto"/>
              <w:ind w:right="-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Minimālais Īres ilgums:</w:t>
            </w:r>
          </w:p>
        </w:tc>
        <w:tc>
          <w:tcPr>
            <w:vAlign w:val="center"/>
          </w:tcPr>
          <w:p w:rsidR="00000000" w:rsidDel="00000000" w:rsidP="00000000" w:rsidRDefault="00000000" w:rsidRPr="00000000" w14:paraId="0000001D">
            <w:pPr>
              <w:spacing w:line="240" w:lineRule="auto"/>
              <w:ind w:right="-48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mēnesis </w:t>
            </w:r>
          </w:p>
        </w:tc>
      </w:tr>
    </w:tbl>
    <w:p w:rsidR="00000000" w:rsidDel="00000000" w:rsidP="00000000" w:rsidRDefault="00000000" w:rsidRPr="00000000" w14:paraId="0000001E">
      <w:pPr>
        <w:spacing w:after="160" w:line="259" w:lineRule="auto"/>
        <w:ind w:right="-48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f" w:val="clea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VISPĀRĒJA VIENOŠANĀS</w:t>
      </w:r>
    </w:p>
    <w:p w:rsidR="00000000" w:rsidDel="00000000" w:rsidP="00000000" w:rsidRDefault="00000000" w:rsidRPr="00000000" w14:paraId="00000020">
      <w:pPr>
        <w:shd w:fill="ffffff" w:val="clea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IZĪRĒTĀJS</w:t>
      </w:r>
      <w:r w:rsidDel="00000000" w:rsidR="00000000" w:rsidRPr="00000000">
        <w:rPr>
          <w:rFonts w:ascii="Times New Roman" w:cs="Times New Roman" w:eastAsia="Times New Roman" w:hAnsi="Times New Roman"/>
          <w:sz w:val="24"/>
          <w:szCs w:val="24"/>
          <w:rtl w:val="0"/>
        </w:rPr>
        <w:t xml:space="preserve"> un </w:t>
      </w:r>
      <w:r w:rsidDel="00000000" w:rsidR="00000000" w:rsidRPr="00000000">
        <w:rPr>
          <w:rFonts w:ascii="Times New Roman" w:cs="Times New Roman" w:eastAsia="Times New Roman" w:hAnsi="Times New Roman"/>
          <w:b w:val="1"/>
          <w:sz w:val="24"/>
          <w:szCs w:val="24"/>
          <w:rtl w:val="0"/>
        </w:rPr>
        <w:t xml:space="preserve">ĪRNIEKS</w:t>
      </w:r>
      <w:r w:rsidDel="00000000" w:rsidR="00000000" w:rsidRPr="00000000">
        <w:rPr>
          <w:rFonts w:ascii="Times New Roman" w:cs="Times New Roman" w:eastAsia="Times New Roman" w:hAnsi="Times New Roman"/>
          <w:sz w:val="24"/>
          <w:szCs w:val="24"/>
          <w:rtl w:val="0"/>
        </w:rPr>
        <w:t xml:space="preserve"> savā starpā noslēdz šo kokles īres līgumu (turpmāk tekstā - Līgums) ar sekojošiem noteikumiem:</w:t>
      </w:r>
    </w:p>
    <w:p w:rsidR="00000000" w:rsidDel="00000000" w:rsidP="00000000" w:rsidRDefault="00000000" w:rsidRPr="00000000" w14:paraId="00000022">
      <w:pPr>
        <w:shd w:fill="ffffff" w:val="clear"/>
        <w:spacing w:line="24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Līgums uzskatāms par noslēgtu sākot ar brīdi, kad </w:t>
      </w:r>
      <w:r w:rsidDel="00000000" w:rsidR="00000000" w:rsidRPr="00000000">
        <w:rPr>
          <w:rFonts w:ascii="Times New Roman" w:cs="Times New Roman" w:eastAsia="Times New Roman" w:hAnsi="Times New Roman"/>
          <w:b w:val="1"/>
          <w:sz w:val="24"/>
          <w:szCs w:val="24"/>
          <w:rtl w:val="0"/>
        </w:rPr>
        <w:t xml:space="preserve">ĪRNIEKS</w:t>
      </w:r>
      <w:r w:rsidDel="00000000" w:rsidR="00000000" w:rsidRPr="00000000">
        <w:rPr>
          <w:rFonts w:ascii="Times New Roman" w:cs="Times New Roman" w:eastAsia="Times New Roman" w:hAnsi="Times New Roman"/>
          <w:sz w:val="24"/>
          <w:szCs w:val="24"/>
          <w:rtl w:val="0"/>
        </w:rPr>
        <w:t xml:space="preserve"> saņem lietošanā šajā līgumā aprakstīto </w:t>
      </w:r>
      <w:r w:rsidDel="00000000" w:rsidR="00000000" w:rsidRPr="00000000">
        <w:rPr>
          <w:rFonts w:ascii="Times New Roman" w:cs="Times New Roman" w:eastAsia="Times New Roman" w:hAnsi="Times New Roman"/>
          <w:b w:val="1"/>
          <w:sz w:val="24"/>
          <w:szCs w:val="24"/>
          <w:rtl w:val="0"/>
        </w:rPr>
        <w:t xml:space="preserve">INVENTĀRU</w:t>
      </w:r>
      <w:r w:rsidDel="00000000" w:rsidR="00000000" w:rsidRPr="00000000">
        <w:rPr>
          <w:rFonts w:ascii="Times New Roman" w:cs="Times New Roman" w:eastAsia="Times New Roman" w:hAnsi="Times New Roman"/>
          <w:sz w:val="24"/>
          <w:szCs w:val="24"/>
          <w:rtl w:val="0"/>
        </w:rPr>
        <w:t xml:space="preserve">. Veicot pirmo maksājumu, </w:t>
      </w:r>
      <w:r w:rsidDel="00000000" w:rsidR="00000000" w:rsidRPr="00000000">
        <w:rPr>
          <w:rFonts w:ascii="Times New Roman" w:cs="Times New Roman" w:eastAsia="Times New Roman" w:hAnsi="Times New Roman"/>
          <w:b w:val="1"/>
          <w:sz w:val="24"/>
          <w:szCs w:val="24"/>
          <w:rtl w:val="0"/>
        </w:rPr>
        <w:t xml:space="preserve">ĪRNIEKS</w:t>
      </w:r>
      <w:r w:rsidDel="00000000" w:rsidR="00000000" w:rsidRPr="00000000">
        <w:rPr>
          <w:rFonts w:ascii="Times New Roman" w:cs="Times New Roman" w:eastAsia="Times New Roman" w:hAnsi="Times New Roman"/>
          <w:sz w:val="24"/>
          <w:szCs w:val="24"/>
          <w:rtl w:val="0"/>
        </w:rPr>
        <w:t xml:space="preserve"> apliecina, ka ir pilnībā iepazinies ar šo līgumu un piekrīt tā nosacījumiem.</w:t>
      </w:r>
    </w:p>
    <w:p w:rsidR="00000000" w:rsidDel="00000000" w:rsidP="00000000" w:rsidRDefault="00000000" w:rsidRPr="00000000" w14:paraId="00000023">
      <w:pPr>
        <w:shd w:fill="ffffff" w:val="clear"/>
        <w:spacing w:line="240" w:lineRule="auto"/>
        <w:jc w:val="both"/>
        <w:rPr>
          <w:rFonts w:ascii="Times New Roman" w:cs="Times New Roman" w:eastAsia="Times New Roman" w:hAnsi="Times New Roman"/>
          <w:sz w:val="24"/>
          <w:szCs w:val="24"/>
        </w:rPr>
      </w:pPr>
      <w:bookmarkStart w:colFirst="0" w:colLast="0" w:name="_yw11i7ymgn4k" w:id="1"/>
      <w:bookmarkEnd w:id="1"/>
      <w:r w:rsidDel="00000000" w:rsidR="00000000" w:rsidRPr="00000000">
        <w:rPr>
          <w:rtl w:val="0"/>
        </w:rPr>
      </w:r>
    </w:p>
    <w:p w:rsidR="00000000" w:rsidDel="00000000" w:rsidP="00000000" w:rsidRDefault="00000000" w:rsidRPr="00000000" w14:paraId="00000024">
      <w:pPr>
        <w:numPr>
          <w:ilvl w:val="0"/>
          <w:numId w:val="1"/>
        </w:numPr>
        <w:spacing w:line="259" w:lineRule="auto"/>
        <w:ind w:left="720" w:right="-483"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Līguma priekšmets un summa</w:t>
      </w:r>
    </w:p>
    <w:p w:rsidR="00000000" w:rsidDel="00000000" w:rsidP="00000000" w:rsidRDefault="00000000" w:rsidRPr="00000000" w14:paraId="00000025">
      <w:pPr>
        <w:spacing w:line="259" w:lineRule="auto"/>
        <w:ind w:right="-48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59" w:lineRule="auto"/>
        <w:ind w:right="-483"/>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numPr>
          <w:ilvl w:val="1"/>
          <w:numId w:val="1"/>
        </w:numPr>
        <w:spacing w:line="259"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IZĪRĒTĀJS par Līgumā norādītu maksu nodod ĪRNIEKAM lietošanā IZĪRĒTĀJAM piederošu mantu – kokli - kopā ar Līgumā norādītajiem papildus piederumiem (turpmāk tekstā – INVENTĀRS) uz Līgumā norādītu laiku.</w:t>
      </w:r>
    </w:p>
    <w:p w:rsidR="00000000" w:rsidDel="00000000" w:rsidP="00000000" w:rsidRDefault="00000000" w:rsidRPr="00000000" w14:paraId="00000028">
      <w:pPr>
        <w:numPr>
          <w:ilvl w:val="1"/>
          <w:numId w:val="1"/>
        </w:numPr>
        <w:spacing w:line="259"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ĪRNIEKS apņemas veikt katru mēnesi norādīto samaksu 10.00 EUR uz IZĪRĒTĀJA rekvizītiem, kas norādīti rēķinā, kurš tiks nosūtīts katru mēnesi  uz ĪRNIEKA norādīto epastu.. </w:t>
      </w:r>
    </w:p>
    <w:p w:rsidR="00000000" w:rsidDel="00000000" w:rsidP="00000000" w:rsidRDefault="00000000" w:rsidRPr="00000000" w14:paraId="00000029">
      <w:pPr>
        <w:numPr>
          <w:ilvl w:val="1"/>
          <w:numId w:val="1"/>
        </w:numPr>
        <w:spacing w:line="259"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Īres maksa tiek veikta 14 dienu laikā kopš rēķina izrakstīšanas brīža.</w:t>
      </w:r>
    </w:p>
    <w:p w:rsidR="00000000" w:rsidDel="00000000" w:rsidP="00000000" w:rsidRDefault="00000000" w:rsidRPr="00000000" w14:paraId="0000002A">
      <w:pPr>
        <w:numPr>
          <w:ilvl w:val="1"/>
          <w:numId w:val="1"/>
        </w:numPr>
        <w:spacing w:line="259"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INVENTĀRS netiek atgriezts līdz 5 dienas pēc mēneša termiņa beigām, tad tiek uzskatīts, ka līgums tiek pagarināts par attiecīgi vēl vienu mēnesi un ĪRNIEKAM jāveic maksājums par pilnu mēnesi.</w:t>
      </w:r>
    </w:p>
    <w:p w:rsidR="00000000" w:rsidDel="00000000" w:rsidP="00000000" w:rsidRDefault="00000000" w:rsidRPr="00000000" w14:paraId="0000002B">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spacing w:line="259" w:lineRule="auto"/>
        <w:ind w:left="720" w:right="-483"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Inventāra saņemšana</w:t>
      </w:r>
    </w:p>
    <w:p w:rsidR="00000000" w:rsidDel="00000000" w:rsidP="00000000" w:rsidRDefault="00000000" w:rsidRPr="00000000" w14:paraId="0000002D">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1"/>
          <w:numId w:val="1"/>
        </w:numPr>
        <w:spacing w:line="259"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IZĪRĒTĀJS nodod ĪRNIEKAM INVENTĀRU kopā ar papildus piederumiem, kas norādīti Līgumā.</w:t>
      </w:r>
    </w:p>
    <w:p w:rsidR="00000000" w:rsidDel="00000000" w:rsidP="00000000" w:rsidRDefault="00000000" w:rsidRPr="00000000" w14:paraId="0000002F">
      <w:pPr>
        <w:numPr>
          <w:ilvl w:val="1"/>
          <w:numId w:val="1"/>
        </w:numPr>
        <w:spacing w:line="259" w:lineRule="auto"/>
        <w:ind w:left="42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INVENTĀRA saņemšana notiek ar Omnivas pakomāta starpniecību.</w:t>
      </w:r>
    </w:p>
    <w:p w:rsidR="00000000" w:rsidDel="00000000" w:rsidP="00000000" w:rsidRDefault="00000000" w:rsidRPr="00000000" w14:paraId="00000030">
      <w:pPr>
        <w:numPr>
          <w:ilvl w:val="1"/>
          <w:numId w:val="1"/>
        </w:numPr>
        <w:spacing w:line="259"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Puses apliecina, ka saņemšanas brīdī INVENTĀRS ir labā tehniskā stāvoklī un tam nav nekādu defektu.</w:t>
      </w:r>
    </w:p>
    <w:p w:rsidR="00000000" w:rsidDel="00000000" w:rsidP="00000000" w:rsidRDefault="00000000" w:rsidRPr="00000000" w14:paraId="00000031">
      <w:pPr>
        <w:spacing w:line="259"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59"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
        </w:numPr>
        <w:spacing w:line="259" w:lineRule="auto"/>
        <w:ind w:left="720" w:right="-483"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Inventāra lietošana</w:t>
      </w:r>
    </w:p>
    <w:p w:rsidR="00000000" w:rsidDel="00000000" w:rsidP="00000000" w:rsidRDefault="00000000" w:rsidRPr="00000000" w14:paraId="00000034">
      <w:pPr>
        <w:spacing w:line="259" w:lineRule="auto"/>
        <w:ind w:left="720" w:right="-483"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numPr>
          <w:ilvl w:val="1"/>
          <w:numId w:val="1"/>
        </w:numPr>
        <w:spacing w:line="259"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ĪRNIEKA pienākums ir godprātīgi lietot INVENTĀRU visā īres periodā nepieļaujot tā bojāšanu, nozaudēšanu vai nozagšanu.</w:t>
      </w:r>
    </w:p>
    <w:p w:rsidR="00000000" w:rsidDel="00000000" w:rsidP="00000000" w:rsidRDefault="00000000" w:rsidRPr="00000000" w14:paraId="00000036">
      <w:pPr>
        <w:numPr>
          <w:ilvl w:val="1"/>
          <w:numId w:val="1"/>
        </w:numPr>
        <w:spacing w:line="259"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ĪRNIEKS ir atbildīgs par INVENTĀRA saglabāšanu tādā stāvoklī, kādā tas bija nodošanas brīdī.</w:t>
      </w:r>
    </w:p>
    <w:p w:rsidR="00000000" w:rsidDel="00000000" w:rsidP="00000000" w:rsidRDefault="00000000" w:rsidRPr="00000000" w14:paraId="00000037">
      <w:pPr>
        <w:numPr>
          <w:ilvl w:val="1"/>
          <w:numId w:val="1"/>
        </w:numPr>
        <w:spacing w:line="259"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ĪRNIEKA pienākums ir segt visas INVENTĀRA uzturēšanas izmaksas, kas rodas tā dabiskā nolietojuma ceļā. (stīgu maiņa, kokles korpusa remonts)).</w:t>
      </w:r>
    </w:p>
    <w:p w:rsidR="00000000" w:rsidDel="00000000" w:rsidP="00000000" w:rsidRDefault="00000000" w:rsidRPr="00000000" w14:paraId="00000038">
      <w:pPr>
        <w:numPr>
          <w:ilvl w:val="1"/>
          <w:numId w:val="1"/>
        </w:numPr>
        <w:spacing w:line="259"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ĪRNIEKAM ir aizliegts atstāt INVENTĀRU bez uzraudzības.</w:t>
      </w:r>
    </w:p>
    <w:p w:rsidR="00000000" w:rsidDel="00000000" w:rsidP="00000000" w:rsidRDefault="00000000" w:rsidRPr="00000000" w14:paraId="00000039">
      <w:pPr>
        <w:numPr>
          <w:ilvl w:val="1"/>
          <w:numId w:val="1"/>
        </w:numPr>
        <w:spacing w:line="259"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ĪRNIEKS konstatē, ka INVENTĀRAM ir slēptie defekti, kuri pastāvēja Līguma noslēgšanas brīži, IZĪRĒTĀJS tos novērš par saviem līdzeķļiem. Šajā gadījumā īres termiņš tiek pagarināts par laiku, kādu ĪRNIEKS nevarēja lietot INVENTĀRU defekta dēļ.</w:t>
      </w:r>
    </w:p>
    <w:p w:rsidR="00000000" w:rsidDel="00000000" w:rsidP="00000000" w:rsidRDefault="00000000" w:rsidRPr="00000000" w14:paraId="0000003A">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spacing w:line="259" w:lineRule="auto"/>
        <w:ind w:left="720" w:right="-483"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Inventāra atgriešana</w:t>
      </w:r>
    </w:p>
    <w:p w:rsidR="00000000" w:rsidDel="00000000" w:rsidP="00000000" w:rsidRDefault="00000000" w:rsidRPr="00000000" w14:paraId="0000003C">
      <w:pPr>
        <w:spacing w:line="259" w:lineRule="auto"/>
        <w:ind w:left="567" w:right="-483"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1"/>
          <w:numId w:val="1"/>
        </w:numPr>
        <w:spacing w:line="259"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ĪRNIEKS atgriež INVENTĀRU IZĪRĒTĀJAM ar Omnivas pakomāta starpniecību, nosūtot uz pakomātu Rīga T/C Stirnu Rimi norādot telefona numuru 28630426,  tādā pašā tehniskā un vizuālā stāvoklī, kādā tas tika saņemts. </w:t>
      </w:r>
    </w:p>
    <w:p w:rsidR="00000000" w:rsidDel="00000000" w:rsidP="00000000" w:rsidRDefault="00000000" w:rsidRPr="00000000" w14:paraId="0000003E">
      <w:pPr>
        <w:numPr>
          <w:ilvl w:val="1"/>
          <w:numId w:val="1"/>
        </w:numPr>
        <w:spacing w:line="259"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ĪRNIEKS faktiski nelieto INVENTĀRU pēc tā saņemšanas vai atgriež to IZĪRĒTĀJAM pirms īres termiņa notecējuma, īres maksa ĪRNIEKAM netiek atmaksāta (ne pilnīgi, ne daļēji).</w:t>
      </w:r>
    </w:p>
    <w:p w:rsidR="00000000" w:rsidDel="00000000" w:rsidP="00000000" w:rsidRDefault="00000000" w:rsidRPr="00000000" w14:paraId="0000003F">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59"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Atbildība</w:t>
      </w:r>
    </w:p>
    <w:p w:rsidR="00000000" w:rsidDel="00000000" w:rsidP="00000000" w:rsidRDefault="00000000" w:rsidRPr="00000000" w14:paraId="00000041">
      <w:pPr>
        <w:spacing w:line="259"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w:t>
      </w:r>
      <w:r w:rsidDel="00000000" w:rsidR="00000000" w:rsidRPr="00000000">
        <w:rPr>
          <w:rFonts w:ascii="Times New Roman" w:cs="Times New Roman" w:eastAsia="Times New Roman" w:hAnsi="Times New Roman"/>
          <w:sz w:val="24"/>
          <w:szCs w:val="24"/>
          <w:rtl w:val="0"/>
        </w:rPr>
        <w:t xml:space="preserve">ĪRNIEKS uzņemas visus ar INVENTĀRA lietošanu saistītus riskus un uzņemas pilnu atbildību par INVENTĀRU un tā saglabāšanu un atgriešanu IZĪRĒTĀJAM ne sliktākā stāvoklī, kādā INVENTĀRS tika saņemts (pieļaujamas nelielas nolietojuma pazīmes).</w:t>
      </w:r>
    </w:p>
    <w:p w:rsidR="00000000" w:rsidDel="00000000" w:rsidP="00000000" w:rsidRDefault="00000000" w:rsidRPr="00000000" w14:paraId="00000043">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Ja INVENTĀRA (tai skaitā papildus aprīkojuma) stāvoklis INVENTĀRA atgriešanas brīdī ir pasliktinājies, salīdzinot ar tā stāvokli nodošanas brīdī, ĪRNIEKAM ir pienākums apmaksāt INVENTĀRAM konstatēto trūkumu novēršanas izdevumus (kas ietver jaunu detaļu iegādi un patērētos darba resursus) .</w:t>
      </w:r>
    </w:p>
    <w:p w:rsidR="00000000" w:rsidDel="00000000" w:rsidP="00000000" w:rsidRDefault="00000000" w:rsidRPr="00000000" w14:paraId="00000044">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Ja īres laikā INVENTĀRS tiek pazaudēts, pilnīgi sabojāts vai nozagts, ĪRNIEKAM ir pienākums samaksāt IZĪRĒTĀJAM kompensāciju INVENTĀRA vērtības apmērā.</w:t>
      </w:r>
    </w:p>
    <w:p w:rsidR="00000000" w:rsidDel="00000000" w:rsidP="00000000" w:rsidRDefault="00000000" w:rsidRPr="00000000" w14:paraId="00000045">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5.4.Līguma 4.4. un 4.5.. punktā norādīto kompensāciju ĪRNIEKS samaksā IZĪRĒTĀJAM 14 dienu laikā no atbilstoša rēķina saņemšanas.</w:t>
      </w:r>
    </w:p>
    <w:p w:rsidR="00000000" w:rsidDel="00000000" w:rsidP="00000000" w:rsidRDefault="00000000" w:rsidRPr="00000000" w14:paraId="00000046">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ĪRNIEKS piekrīt, ka jebkādu maksājumu neveikšanas gadījumā IZĪRĒTĀJAM ir tiesības nodot ĪRNIEKA personas datus trešajām personām piedziņas darbību veikšanai. Tāpat nepieciešamības gadījumā IZĪRĒTĀJS ir tiesīgs nodot ĪRNIEKA datus un Līguma kopiju valsts un pašvaldību iestādēm, piemēram, policijai, tiesai, kā arī trešajām personām, kas sniedz IZĪRĒTĀJAM juridiskos, grāmatvedības u.tml. pakalpojumus, ja šo datu nodošana ir nepieciešama šo pakalpojumu sniegšanai.</w:t>
      </w:r>
    </w:p>
    <w:p w:rsidR="00000000" w:rsidDel="00000000" w:rsidP="00000000" w:rsidRDefault="00000000" w:rsidRPr="00000000" w14:paraId="00000047">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59" w:lineRule="auto"/>
        <w:ind w:left="720" w:right="-48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Noslēguma noteikumi</w:t>
      </w:r>
    </w:p>
    <w:p w:rsidR="00000000" w:rsidDel="00000000" w:rsidP="00000000" w:rsidRDefault="00000000" w:rsidRPr="00000000" w14:paraId="0000004B">
      <w:pPr>
        <w:spacing w:line="259" w:lineRule="auto"/>
        <w:ind w:left="720" w:right="-483"/>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w:t>
      </w:r>
      <w:r w:rsidDel="00000000" w:rsidR="00000000" w:rsidRPr="00000000">
        <w:rPr>
          <w:rFonts w:ascii="Times New Roman" w:cs="Times New Roman" w:eastAsia="Times New Roman" w:hAnsi="Times New Roman"/>
          <w:sz w:val="24"/>
          <w:szCs w:val="24"/>
          <w:rtl w:val="0"/>
        </w:rPr>
        <w:t xml:space="preserve">Līgums stājas spēkā ar INVENTĀRA saņemšanas brīdi un ir spēkā līdz tajā noteikto saistību izpildei (INVENTĀRA atgriešanai IZĪRĒTĀJAM un visu maksājumu saistību, tai skaitā zaudējumu atlīdzības, izpildei). </w:t>
      </w:r>
    </w:p>
    <w:p w:rsidR="00000000" w:rsidDel="00000000" w:rsidP="00000000" w:rsidRDefault="00000000" w:rsidRPr="00000000" w14:paraId="0000004D">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6.2.Līguma noteikumi ir saistoši abu Pušu saistību un tiesību pārņēmējiem un mantiniekiem pilnā tā apjomā.</w:t>
      </w:r>
    </w:p>
    <w:p w:rsidR="00000000" w:rsidDel="00000000" w:rsidP="00000000" w:rsidRDefault="00000000" w:rsidRPr="00000000" w14:paraId="0000004E">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Jautājumiem, kurus neregulē Līgums, ir piemērojami Latvijas Republikas normatīvie akti.</w:t>
      </w:r>
    </w:p>
    <w:p w:rsidR="00000000" w:rsidDel="00000000" w:rsidP="00000000" w:rsidRDefault="00000000" w:rsidRPr="00000000" w14:paraId="0000004F">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Visus no Līguma izrietošos strīdus Puses risina savstarpēju pārrunu ceļā. Ja pārrunas nonāk strupceļā, katra Puse ir tiesīga vērsties Latvijas Republikas tiesā, lai panāktu strīda atrisinājumu.</w:t>
      </w:r>
    </w:p>
    <w:p w:rsidR="00000000" w:rsidDel="00000000" w:rsidP="00000000" w:rsidRDefault="00000000" w:rsidRPr="00000000" w14:paraId="00000050">
      <w:pPr>
        <w:spacing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Visus paziņojumus, brīdinājumus un cita veida informāciju Puses sūta viena otrai pa pastu vai uz Līgumā norādītām e-pasta adresēm. Puses piekrīt, ka uz šiem e-pastiem nosūtītā informācija ir uzskatāma par saņemtu 3 (trīs) dienu laikā pēc tās nosūtīšanas un ir derīga bez paraksta.</w:t>
      </w:r>
    </w:p>
    <w:p w:rsidR="00000000" w:rsidDel="00000000" w:rsidP="00000000" w:rsidRDefault="00000000" w:rsidRPr="00000000" w14:paraId="00000051">
      <w:pPr>
        <w:spacing w:line="259"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6.6.Pusēm ir pienākums savlaicīgi informēt otru Pusi par savas kontaktinformācijas (adreses, e-pasta, telefona numura) nomaiņu. </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