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color w:val="1B2A4A"/>
          <w:sz w:val="44"/>
        </w:rPr>
        <w:t>AMJAD M. MASOUD</w:t>
      </w:r>
    </w:p>
    <w:p>
      <w:pPr>
        <w:pStyle w:val="Normal"/>
        <w:spacing w:before="0" w:after="20"/>
        <w:jc w:val="center"/>
        <w:rPr/>
      </w:pPr>
      <w:r>
        <w:rPr>
          <w:color w:val="555555"/>
          <w:sz w:val="20"/>
        </w:rPr>
        <w:t>Amman, Jordan  ∙  amjadmasoud@hotmail.com  ∙  (+962) 799 312 787</w:t>
      </w:r>
    </w:p>
    <w:p>
      <w:pPr>
        <w:pStyle w:val="Normal"/>
        <w:spacing w:before="0" w:after="80"/>
        <w:jc w:val="center"/>
        <w:rPr/>
      </w:pPr>
      <w:r>
        <w:rPr>
          <w:color w:val="2E74B5"/>
          <w:sz w:val="19"/>
        </w:rPr>
        <w:t>linkedin.com/in/amjad-m-masoud-pmp-9308aa11  ∙  amjadov.github.io/web</w:t>
      </w:r>
    </w:p>
    <w:p>
      <w:pPr>
        <w:pStyle w:val="Normal"/>
        <w:spacing w:before="40" w:after="80"/>
        <w:jc w:val="center"/>
        <w:rPr/>
      </w:pPr>
      <w:r>
        <w:rPr>
          <w:rFonts w:eastAsia="ＭＳ 明朝" w:cs=""/>
          <w:b/>
          <w:color w:val="2E74B5"/>
          <w:kern w:val="0"/>
          <w:sz w:val="21"/>
          <w:szCs w:val="22"/>
          <w:lang w:val="en-US" w:eastAsia="en-US" w:bidi="ar-SA"/>
        </w:rPr>
        <w:t>IT</w:t>
      </w:r>
      <w:r>
        <w:rPr>
          <w:rFonts w:eastAsia="ＭＳ 明朝" w:cs=""/>
          <w:b/>
          <w:color w:val="2E74B5"/>
          <w:kern w:val="0"/>
          <w:sz w:val="21"/>
          <w:szCs w:val="22"/>
          <w:lang w:val="en-US" w:eastAsia="en-US" w:bidi="ar-SA"/>
        </w:rPr>
        <w:t xml:space="preserve"> </w:t>
      </w:r>
      <w:r>
        <w:rPr>
          <w:rFonts w:eastAsia="ＭＳ 明朝" w:cs=""/>
          <w:b/>
          <w:color w:val="2E74B5"/>
          <w:kern w:val="0"/>
          <w:sz w:val="21"/>
          <w:szCs w:val="22"/>
          <w:lang w:val="en-US" w:eastAsia="en-US" w:bidi="ar-SA"/>
        </w:rPr>
        <w:t>Project</w:t>
      </w:r>
      <w:r>
        <w:rPr>
          <w:rFonts w:eastAsia="ＭＳ 明朝" w:cs=""/>
          <w:b/>
          <w:color w:val="2E74B5"/>
          <w:kern w:val="0"/>
          <w:sz w:val="21"/>
          <w:szCs w:val="22"/>
          <w:lang w:val="en-US" w:eastAsia="en-US" w:bidi="ar-SA"/>
        </w:rPr>
        <w:t xml:space="preserve"> Manager | Technical Delivery </w:t>
      </w:r>
      <w:r>
        <w:rPr>
          <w:rFonts w:eastAsia="ＭＳ 明朝" w:cs=""/>
          <w:b/>
          <w:color w:val="2E74B5"/>
          <w:kern w:val="0"/>
          <w:sz w:val="21"/>
          <w:szCs w:val="22"/>
          <w:lang w:val="en-US" w:eastAsia="en-US" w:bidi="ar-SA"/>
        </w:rPr>
        <w:t>Manager</w:t>
      </w:r>
      <w:r>
        <w:rPr/>
        <w:t xml:space="preserve"> </w:t>
      </w:r>
    </w:p>
    <w:p>
      <w:pPr>
        <w:pStyle w:val="Normal"/>
        <w:pBdr>
          <w:bottom w:val="single" w:sz="6" w:space="1" w:color="1B2A4A"/>
        </w:pBdr>
        <w:spacing w:before="40" w:after="120"/>
        <w:rPr/>
      </w:pPr>
      <w:r>
        <w:rPr/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SUMMARY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 xml:space="preserve">PMP certified IT leader with 20 years of experience directing digital transformation programs and cross functional delivery teams, </w:t>
      </w:r>
      <w:r>
        <w:rPr>
          <w:color w:val="333333"/>
          <w:sz w:val="20"/>
        </w:rPr>
        <w:t>experience</w:t>
      </w:r>
      <w:r>
        <w:rPr>
          <w:color w:val="333333"/>
          <w:sz w:val="20"/>
        </w:rPr>
        <w:t xml:space="preserve"> </w:t>
      </w:r>
      <w:r>
        <w:rPr>
          <w:color w:val="333333"/>
          <w:sz w:val="20"/>
        </w:rPr>
        <w:t>handling</w:t>
      </w:r>
      <w:r>
        <w:rPr>
          <w:color w:val="333333"/>
          <w:sz w:val="20"/>
        </w:rPr>
        <w:t xml:space="preserve"> C-suite </w:t>
      </w:r>
      <w:r>
        <w:rPr>
          <w:color w:val="333333"/>
          <w:sz w:val="20"/>
        </w:rPr>
        <w:t>leadership</w:t>
      </w:r>
      <w:r>
        <w:rPr>
          <w:color w:val="333333"/>
          <w:sz w:val="20"/>
        </w:rPr>
        <w:t xml:space="preserve"> and technical execution, and transforming legacy infrastructure into scalable cloud environments.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CORE COMPETENCIES</w:t>
      </w:r>
    </w:p>
    <w:tbl>
      <w:tblPr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Project &amp; Program Management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Enterprise Architecture (TOGAF)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Digital Transformation Strategy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Agile / Scrum Delivery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Stakeholder &amp; Executive Engagement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Risk &amp; Issue Management</w:t>
            </w:r>
          </w:p>
        </w:tc>
      </w:tr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Team Building &amp; Leadership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Budgeting &amp; Resource Planning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Vendor &amp; Contract Management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Legacy System Modernization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Cloud &amp; Hybrid Architecture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Business Process Re-engineering</w:t>
            </w:r>
          </w:p>
        </w:tc>
      </w:tr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CI/CD &amp; DevOps Practices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Requirements Analysis (BRD/FRD)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Change Management</w:t>
            </w:r>
          </w:p>
        </w:tc>
      </w:tr>
    </w:tbl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TECHNICAL PROFICIENCY</w:t>
      </w:r>
    </w:p>
    <w:p>
      <w:pPr>
        <w:pStyle w:val="Normal"/>
        <w:spacing w:before="20" w:after="40"/>
        <w:rPr>
          <w:color w:val="333333"/>
          <w:sz w:val="20"/>
        </w:rPr>
      </w:pPr>
      <w:r>
        <w:rPr>
          <w:b/>
          <w:color w:val="333333"/>
          <w:sz w:val="20"/>
        </w:rPr>
        <w:t>Cloud &amp; Infrastructure:</w:t>
      </w:r>
      <w:r>
        <w:rPr>
          <w:color w:val="333333"/>
          <w:sz w:val="20"/>
        </w:rPr>
        <w:t xml:space="preserve"> Microsoft Azure, Cloud &amp; Hybrid Architectures, SQL Server (Always On), Redis High Availability. </w:t>
      </w:r>
    </w:p>
    <w:p>
      <w:pPr>
        <w:pStyle w:val="Normal"/>
        <w:spacing w:before="20" w:after="40"/>
        <w:rPr>
          <w:color w:val="333333"/>
          <w:sz w:val="20"/>
        </w:rPr>
      </w:pPr>
      <w:r>
        <w:rPr>
          <w:b/>
          <w:color w:val="333333"/>
          <w:sz w:val="20"/>
        </w:rPr>
        <w:t>Enterprise Solutions &amp; Tools:</w:t>
      </w:r>
      <w:r>
        <w:rPr>
          <w:color w:val="333333"/>
          <w:sz w:val="20"/>
        </w:rPr>
        <w:t xml:space="preserve"> Jira, Microsoft Project, Confluence, Enterprise ERP Data Pipelines. </w:t>
      </w:r>
    </w:p>
    <w:p>
      <w:pPr>
        <w:pStyle w:val="Normal"/>
        <w:spacing w:before="20" w:after="40"/>
        <w:rPr>
          <w:color w:val="333333"/>
          <w:sz w:val="20"/>
        </w:rPr>
      </w:pPr>
      <w:r>
        <w:rPr>
          <w:b/>
          <w:color w:val="333333"/>
          <w:sz w:val="20"/>
        </w:rPr>
        <w:t>Modern Software Frameworks (Conceptual):</w:t>
      </w:r>
      <w:r>
        <w:rPr>
          <w:color w:val="333333"/>
          <w:sz w:val="20"/>
        </w:rPr>
        <w:t xml:space="preserve"> C# .NET Core, Microservices, RESTful APIs, Python (Data Science, Applied AI). </w:t>
      </w:r>
    </w:p>
    <w:p>
      <w:pPr>
        <w:pStyle w:val="Normal"/>
        <w:spacing w:before="20" w:after="40"/>
        <w:rPr/>
      </w:pPr>
      <w:r>
        <w:rPr>
          <w:b/>
          <w:color w:val="1B2A4A"/>
          <w:sz w:val="20"/>
        </w:rPr>
        <w:t xml:space="preserve">Tools &amp; Frameworks:  </w:t>
      </w:r>
      <w:r>
        <w:rPr>
          <w:color w:val="333333"/>
          <w:sz w:val="20"/>
        </w:rPr>
        <w:t>Git, Jira, Microsoft Project, ERP Systems, Applied AI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EXPERIENCE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Project Manager | Government Process Automation</w:t>
      </w:r>
      <w:r>
        <w:rPr/>
        <w:tab/>
      </w:r>
      <w:r>
        <w:rPr>
          <w:color w:val="555555"/>
          <w:sz w:val="20"/>
        </w:rPr>
        <w:t>Feb 2025 – Present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EY, Amman, Jordan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Client: Saudi Expro – Services Efficiency Review Department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color w:val="333333"/>
          <w:sz w:val="20"/>
        </w:rPr>
        <w:t>Drove full project life-cycle from initiation through UAT, applying Agile-Scrum methodology with 2-week sprint cycles to deliver on time and within budget.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color w:val="333333"/>
          <w:sz w:val="20"/>
        </w:rPr>
        <w:t xml:space="preserve">Conducted stakeholder alignment workshops to map out complex enterprise architecture requirements, turning high-level business needs into actionable technical execution road-maps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Authored all key project artifacts — Business Requirements Document (BRD), user stories, interface mock-ups, and user manuals — ensuring traceability from requirements to delivered functionality.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Digitized core business processes, eliminating spreadsheet/email-based workflows and establishing an automated system that improved data integrity and operational efficiency.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Facilitated stakeholder workshops and weekly executive sprint reviews, securing formal client sign-off on all major deliverables.</w:t>
      </w:r>
    </w:p>
    <w:p>
      <w:pPr>
        <w:pStyle w:val="ListBullet"/>
        <w:numPr>
          <w:ilvl w:val="0"/>
          <w:numId w:val="0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color w:val="333333"/>
          <w:sz w:val="20"/>
        </w:rPr>
      </w:r>
    </w:p>
    <w:p>
      <w:pPr>
        <w:pStyle w:val="ListBullet"/>
        <w:numPr>
          <w:ilvl w:val="0"/>
          <w:numId w:val="0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color w:val="333333"/>
          <w:sz w:val="20"/>
        </w:rPr>
      </w:r>
    </w:p>
    <w:p>
      <w:pPr>
        <w:pStyle w:val="ListBullet"/>
        <w:numPr>
          <w:ilvl w:val="0"/>
          <w:numId w:val="0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color w:val="333333"/>
          <w:sz w:val="20"/>
        </w:rPr>
      </w:r>
    </w:p>
    <w:p>
      <w:pPr>
        <w:pStyle w:val="ListBullet"/>
        <w:numPr>
          <w:ilvl w:val="0"/>
          <w:numId w:val="0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color w:val="333333"/>
          <w:sz w:val="20"/>
        </w:rPr>
      </w:r>
    </w:p>
    <w:p>
      <w:pPr>
        <w:pStyle w:val="ListBullet"/>
        <w:numPr>
          <w:ilvl w:val="0"/>
          <w:numId w:val="0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color w:val="333333"/>
          <w:sz w:val="20"/>
        </w:rPr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Technical Delivery Manager / Team Lead</w:t>
      </w:r>
      <w:r>
        <w:rPr/>
        <w:tab/>
      </w:r>
      <w:r>
        <w:rPr>
          <w:color w:val="555555"/>
          <w:sz w:val="20"/>
        </w:rPr>
        <w:t>2018 – 2024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MStart, Amman, Jordan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Directed the end-to-end technical delivery</w:t>
      </w:r>
      <w:r>
        <w:rPr>
          <w:color w:val="333333"/>
          <w:sz w:val="20"/>
        </w:rPr>
        <w:t xml:space="preserve"> and legacy-to-modern platform migration for a high-traffic e-commerce ecosystem generating 1 Billion SAR annual revenue.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b/>
        </w:rPr>
        <w:t>Directed dual-stream cross-functional engineering teams</w:t>
      </w:r>
      <w:r>
        <w:rPr/>
        <w:t xml:space="preserve"> (Backend &amp; Mobile), driving recruitment, on-boarding, resource allocation, and daily Agile-Scrum activities to optimize team velocity.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Enterprise-grade infrastructure delivery:</w:t>
      </w:r>
      <w:r>
        <w:rPr>
          <w:color w:val="333333"/>
          <w:sz w:val="20"/>
        </w:rPr>
        <w:t xml:space="preserve"> Led a platform overhaul that scaled capacity from 15,000 to 120,000 daily orders (an 8x increase) while driving system latency down from 3s to sub-200ms, directly unlocking corporate revenue growth.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Mitigated critical deployment risks</w:t>
      </w:r>
      <w:r>
        <w:rPr>
          <w:color w:val="333333"/>
          <w:sz w:val="20"/>
        </w:rPr>
        <w:t xml:space="preserve"> by designing a high-availability SQL Server "Always On" solution (99.9% up-time), executing a complex database cut-over with zero downtime.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Enhanced engineering delivery practices</w:t>
      </w:r>
      <w:r>
        <w:rPr>
          <w:color w:val="333333"/>
          <w:sz w:val="20"/>
        </w:rPr>
        <w:t xml:space="preserve"> by establishing automated CI/CD pipelines, slashing release cycle delays, and significantly lowering deployment-day risks.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Governed third-party vendor integrations and stakeholder communications</w:t>
      </w:r>
      <w:r>
        <w:rPr>
          <w:color w:val="333333"/>
          <w:sz w:val="20"/>
        </w:rPr>
        <w:t xml:space="preserve">, bridging the gap between deep systems architecture execution and executive business priorities. 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Co-Founder &amp;</w:t>
      </w:r>
      <w:r>
        <w:rPr>
          <w:rFonts w:eastAsia="ＭＳ 明朝" w:cs=""/>
          <w:b/>
          <w:color w:val="1B2A4A"/>
          <w:kern w:val="0"/>
          <w:sz w:val="22"/>
          <w:szCs w:val="22"/>
          <w:lang w:val="en-US" w:eastAsia="en-US" w:bidi="ar-SA"/>
        </w:rPr>
        <w:t xml:space="preserve"> Head of Technical Delivery</w:t>
      </w:r>
      <w:r>
        <w:rPr/>
        <w:t xml:space="preserve"> (</w:t>
      </w:r>
      <w:r>
        <w:rPr>
          <w:b/>
          <w:color w:val="1B2A4A"/>
          <w:sz w:val="22"/>
        </w:rPr>
        <w:t>CTO)</w:t>
      </w:r>
      <w:r>
        <w:rPr/>
        <w:tab/>
      </w:r>
      <w:r>
        <w:rPr>
          <w:color w:val="555555"/>
          <w:sz w:val="20"/>
        </w:rPr>
        <w:t>2017 – 2020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Kafou Services, Jordan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Led the technical road-map, product delivery strategy, and launch</w:t>
      </w:r>
      <w:r>
        <w:rPr>
          <w:color w:val="333333"/>
          <w:sz w:val="20"/>
        </w:rPr>
        <w:t xml:space="preserve"> for an on-demand, two-sided mobile marketplace platform connecting end-users with local service providers.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Directed the end-to-end development life cycle (SDLC)</w:t>
      </w:r>
      <w:r>
        <w:rPr>
          <w:color w:val="333333"/>
          <w:sz w:val="20"/>
        </w:rPr>
        <w:t xml:space="preserve"> for the core marketplace product, coordinating cross-functional engineering efforts across backend services, mobile apps, and admin panels.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Directed system integrations</w:t>
      </w:r>
      <w:r>
        <w:rPr>
          <w:color w:val="333333"/>
          <w:sz w:val="20"/>
        </w:rPr>
        <w:t xml:space="preserve">, governing the deployment of online payment gateways (PayFort), real-time messaging protocols (PubNub), and geolocation mapping APIs (Google Maps). </w:t>
      </w:r>
    </w:p>
    <w:p>
      <w:pPr>
        <w:pStyle w:val="ListBullet"/>
        <w:numPr>
          <w:ilvl w:val="0"/>
          <w:numId w:val="0"/>
        </w:numPr>
        <w:spacing w:before="0" w:after="40"/>
        <w:ind w:hanging="0" w:start="567"/>
        <w:contextualSpacing/>
        <w:rPr>
          <w:color w:val="333333"/>
          <w:sz w:val="20"/>
        </w:rPr>
      </w:pPr>
      <w:r>
        <w:rPr>
          <w:color w:val="333333"/>
          <w:sz w:val="20"/>
        </w:rPr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 xml:space="preserve">ERP Implementation &amp; Financial Data Governance Specialist </w:t>
      </w:r>
      <w:r>
        <w:rPr/>
        <w:tab/>
      </w:r>
      <w:r>
        <w:rPr>
          <w:color w:val="555555"/>
          <w:sz w:val="20"/>
        </w:rPr>
        <w:t>2013 – 2017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Mahmoud Saleh Abbar, Jeddah, Saudi Arabia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b/>
          <w:color w:val="333333"/>
          <w:sz w:val="20"/>
        </w:rPr>
        <w:t>Appointed directly by the CFO</w:t>
      </w:r>
      <w:r>
        <w:rPr>
          <w:color w:val="333333"/>
          <w:sz w:val="20"/>
        </w:rPr>
        <w:t xml:space="preserve"> to oversee financial data integrity and lead a company-wide ERP rollout across 5 cities and 450+ employees.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Governed enterprise data cleansing and migration strategy</w:t>
      </w:r>
      <w:r>
        <w:rPr>
          <w:color w:val="333333"/>
          <w:sz w:val="20"/>
        </w:rPr>
        <w:t xml:space="preserve">, consolidating fragmented retail transaction data across dozens of nationwide retail branches into a single, trusted source of truth.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Designed and engineered advanced T-SQL financial data pipelines</w:t>
      </w:r>
      <w:r>
        <w:rPr>
          <w:color w:val="333333"/>
          <w:sz w:val="20"/>
        </w:rPr>
        <w:t xml:space="preserve">, automating back-office reporting workflows spanning technology, services, and human resources.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Delivered critical Business Intelligence (BI) and management reporting systems</w:t>
      </w:r>
      <w:r>
        <w:rPr>
          <w:color w:val="333333"/>
          <w:sz w:val="20"/>
        </w:rPr>
        <w:t xml:space="preserve"> that provided the C-suite with accurate, real-time visibility into corporate statistics, compliance, and financial auditing. 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 xml:space="preserve">Product Delivery Manager &amp; Lead Enterprise Architect </w:t>
      </w:r>
      <w:r>
        <w:rPr/>
        <w:tab/>
      </w:r>
      <w:r>
        <w:rPr>
          <w:color w:val="555555"/>
          <w:sz w:val="20"/>
        </w:rPr>
        <w:t>2005 – 2013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Grant Thornton, Saudi Arabia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Directed the end-to-end product lifecycle and modernization strategy</w:t>
      </w:r>
      <w:r>
        <w:rPr>
          <w:color w:val="333333"/>
          <w:sz w:val="20"/>
        </w:rPr>
        <w:t xml:space="preserve"> for an enterprise Operational Risk Management (ORM) platform, transforming a legacy single-user system into a scalable, multi-tenant web architecture.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Served as the sole Architect and Lead Developer</w:t>
      </w:r>
      <w:r>
        <w:rPr>
          <w:color w:val="333333"/>
          <w:sz w:val="20"/>
        </w:rPr>
        <w:t xml:space="preserve"> to design and engineer a highly secure, multilingual ASP.NET enterprise platform tailored for regulated financial environments.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Drove exceptional commercial growth:</w:t>
      </w:r>
      <w:r>
        <w:rPr>
          <w:color w:val="333333"/>
          <w:sz w:val="20"/>
        </w:rPr>
        <w:t xml:space="preserve"> led the platform release as </w:t>
      </w:r>
      <w:r>
        <w:rPr>
          <w:b/>
          <w:color w:val="333333"/>
          <w:sz w:val="20"/>
        </w:rPr>
        <w:t>Product Owner</w:t>
      </w:r>
      <w:r>
        <w:rPr>
          <w:color w:val="333333"/>
          <w:sz w:val="20"/>
        </w:rPr>
        <w:t xml:space="preserve">, directly accelerating client acquisition from 5 to 40+ premier banks and insurance companies across the EMEA region.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b/>
          <w:color w:val="333333"/>
          <w:sz w:val="20"/>
        </w:rPr>
        <w:t>Governed regional technical delivery and Tier-3 client support</w:t>
      </w:r>
      <w:r>
        <w:rPr>
          <w:color w:val="333333"/>
          <w:sz w:val="20"/>
        </w:rPr>
        <w:t xml:space="preserve">, establishing strong stakeholder relationships with C-level client executives and collaborating cross-border with Grant Thornton SA and CGC UK leadership teams. </w:t>
      </w:r>
    </w:p>
    <w:p>
      <w:pPr>
        <w:pStyle w:val="Normal"/>
        <w:spacing w:before="80" w:after="40"/>
        <w:rPr/>
      </w:pPr>
      <w:r>
        <w:rPr>
          <w:i/>
          <w:color w:val="555555"/>
          <w:sz w:val="19"/>
        </w:rPr>
        <w:t>Additional experience as Full Stack Developer at Visual Soft, Jubail, Saudi Arabia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EDUCATION</w:t>
      </w:r>
    </w:p>
    <w:p>
      <w:pPr>
        <w:pStyle w:val="Normal"/>
        <w:spacing w:before="80" w:after="40"/>
        <w:rPr/>
      </w:pPr>
      <w:r>
        <w:rPr>
          <w:b/>
          <w:color w:val="1B2A4A"/>
          <w:sz w:val="21"/>
        </w:rPr>
        <w:t>Bachelor's Degree in Business Administration</w:t>
      </w:r>
    </w:p>
    <w:p>
      <w:pPr>
        <w:pStyle w:val="Normal"/>
        <w:spacing w:before="0" w:after="40"/>
        <w:rPr/>
      </w:pPr>
      <w:r>
        <w:rPr>
          <w:color w:val="333333"/>
          <w:sz w:val="20"/>
        </w:rPr>
        <w:t>Applied Science University, Amman, Jordan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CERTIFICATIONS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Project Management Professional (PMP®)</w:t>
      </w:r>
      <w:r>
        <w:rPr>
          <w:color w:val="555555"/>
          <w:sz w:val="20"/>
        </w:rPr>
        <w:t xml:space="preserve">  |  Project Management Institute (PMI)</w:t>
      </w:r>
      <w:r>
        <w:rPr/>
        <w:tab/>
      </w:r>
      <w:r>
        <w:rPr>
          <w:color w:val="555555"/>
          <w:sz w:val="19"/>
        </w:rPr>
        <w:t>March 2026 – March 2029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TOGAF Foundation (Level 1)</w:t>
      </w:r>
      <w:r>
        <w:rPr/>
        <w:tab/>
      </w:r>
      <w:r>
        <w:rPr>
          <w:color w:val="555555"/>
          <w:sz w:val="19"/>
        </w:rPr>
        <w:t>In Progress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Microsoft Certified: Azure Fundamentals (AZ-900)</w:t>
      </w:r>
      <w:r>
        <w:rPr>
          <w:color w:val="555555"/>
          <w:sz w:val="20"/>
        </w:rPr>
        <w:t xml:space="preserve">  |  Microsoft</w:t>
      </w:r>
      <w:r>
        <w:rPr/>
        <w:tab/>
      </w:r>
      <w:r>
        <w:rPr>
          <w:color w:val="555555"/>
          <w:sz w:val="19"/>
        </w:rPr>
        <w:t>November 2025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EY Applied AI – Bronze Learning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2025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Building Business Acumen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2026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Developing Client Relationships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2026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Applied Data Science with Python – Level 2</w:t>
      </w:r>
      <w:r>
        <w:rPr>
          <w:color w:val="555555"/>
          <w:sz w:val="20"/>
        </w:rPr>
        <w:t xml:space="preserve">  |  IBM</w:t>
      </w:r>
      <w:r>
        <w:rPr/>
        <w:tab/>
      </w:r>
      <w:r>
        <w:rPr>
          <w:color w:val="555555"/>
          <w:sz w:val="19"/>
        </w:rPr>
        <w:t>2017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Python for Data Science</w:t>
      </w:r>
      <w:r>
        <w:rPr>
          <w:color w:val="555555"/>
          <w:sz w:val="20"/>
        </w:rPr>
        <w:t xml:space="preserve">  |  IBM</w:t>
      </w:r>
      <w:r>
        <w:rPr/>
        <w:tab/>
      </w:r>
      <w:r>
        <w:rPr>
          <w:color w:val="555555"/>
          <w:sz w:val="19"/>
        </w:rPr>
        <w:t>2017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Advanced Certified Operational Risk Executive (CORE2)</w:t>
      </w:r>
      <w:r>
        <w:rPr>
          <w:color w:val="555555"/>
          <w:sz w:val="20"/>
        </w:rPr>
        <w:t xml:space="preserve">  |   Grant Thornton</w:t>
      </w:r>
      <w:r>
        <w:rPr/>
        <w:tab/>
      </w:r>
      <w:r>
        <w:rPr>
          <w:color w:val="555555"/>
          <w:sz w:val="19"/>
        </w:rPr>
        <w:t>2010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Certified Operational Risk Executive (CORE)</w:t>
      </w:r>
      <w:r>
        <w:rPr>
          <w:color w:val="555555"/>
          <w:sz w:val="20"/>
        </w:rPr>
        <w:t xml:space="preserve">  |  Grant Thornton</w:t>
      </w:r>
      <w:r>
        <w:rPr/>
        <w:tab/>
      </w:r>
      <w:r>
        <w:rPr>
          <w:color w:val="555555"/>
          <w:sz w:val="19"/>
        </w:rPr>
        <w:t>April 2007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LANGUAGES</w:t>
      </w:r>
    </w:p>
    <w:p>
      <w:pPr>
        <w:pStyle w:val="Normal"/>
        <w:spacing w:before="80" w:after="40"/>
        <w:rPr/>
      </w:pPr>
      <w:r>
        <w:rPr>
          <w:b/>
          <w:color w:val="1B2A4A"/>
          <w:sz w:val="20"/>
        </w:rPr>
        <w:t xml:space="preserve">Arabic:  </w:t>
      </w:r>
      <w:r>
        <w:rPr>
          <w:color w:val="333333"/>
          <w:sz w:val="20"/>
        </w:rPr>
        <w:t>Native</w:t>
      </w:r>
      <w:r>
        <w:rPr>
          <w:color w:val="555555"/>
          <w:sz w:val="20"/>
        </w:rPr>
        <w:t xml:space="preserve">     ∙     </w:t>
      </w:r>
      <w:r>
        <w:rPr>
          <w:b/>
          <w:color w:val="1B2A4A"/>
          <w:sz w:val="20"/>
        </w:rPr>
        <w:t xml:space="preserve">English:  </w:t>
      </w:r>
      <w:r>
        <w:rPr>
          <w:color w:val="333333"/>
          <w:sz w:val="20"/>
        </w:rPr>
        <w:t>Fluent (Professional Working Proficiency)</w:t>
      </w:r>
      <w:r>
        <w:rPr>
          <w:color w:val="555555"/>
          <w:sz w:val="20"/>
        </w:rPr>
        <w:t xml:space="preserve">     ∙     </w:t>
      </w:r>
      <w:r>
        <w:rPr>
          <w:b/>
          <w:color w:val="1B2A4A"/>
          <w:sz w:val="20"/>
        </w:rPr>
        <w:t xml:space="preserve">French:  </w:t>
      </w:r>
      <w:r>
        <w:rPr>
          <w:color w:val="333333"/>
          <w:sz w:val="20"/>
        </w:rPr>
        <w:t>Intermediate</w:t>
      </w:r>
    </w:p>
    <w:sectPr>
      <w:type w:val="nextPage"/>
      <w:pgSz w:w="12240" w:h="15840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40"/>
      <w:jc w:val="start"/>
    </w:pPr>
    <w:rPr>
      <w:rFonts w:ascii="Calibri" w:hAnsi="Calibri" w:eastAsia="ＭＳ 明朝" w:cs=""/>
      <w:color w:val="333333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LibreOffice/25.8.6.2$Windows_X86_64 LibreOffice_project/b4b39682cd9868fa725bc664aff94278d315bd04</Application>
  <AppVersion>15.0000</AppVersion>
  <Pages>3</Pages>
  <Words>884</Words>
  <Characters>5927</Characters>
  <CharactersWithSpaces>6791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2026-06-04T22:47:02Z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