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color w:val="1B2A4A"/>
          <w:sz w:val="44"/>
        </w:rPr>
        <w:t>AMJAD M. MASOUD</w:t>
      </w:r>
    </w:p>
    <w:p>
      <w:pPr>
        <w:pStyle w:val="Normal"/>
        <w:spacing w:before="0" w:after="20"/>
        <w:jc w:val="center"/>
        <w:rPr/>
      </w:pPr>
      <w:r>
        <w:rPr>
          <w:color w:val="555555"/>
          <w:sz w:val="20"/>
        </w:rPr>
        <w:t>Amman, Jordan  ∙  amjadmasoud@hotmail.com  ∙  (+962) 799 312 787</w:t>
      </w:r>
    </w:p>
    <w:p>
      <w:pPr>
        <w:pStyle w:val="Normal"/>
        <w:spacing w:before="0" w:after="80"/>
        <w:jc w:val="center"/>
        <w:rPr/>
      </w:pPr>
      <w:hyperlink r:id="rId2">
        <w:r>
          <w:rPr>
            <w:rStyle w:val="Hyperlink"/>
            <w:color w:val="2E74B5"/>
            <w:sz w:val="19"/>
          </w:rPr>
          <w:t>LinkedIn</w:t>
        </w:r>
      </w:hyperlink>
      <w:r>
        <w:rPr>
          <w:color w:val="2E74B5"/>
          <w:sz w:val="19"/>
        </w:rPr>
        <w:t xml:space="preserve">  ∙  amjadov.github.io/web</w:t>
      </w:r>
    </w:p>
    <w:p>
      <w:pPr>
        <w:pStyle w:val="Normal"/>
        <w:spacing w:before="40" w:after="80"/>
        <w:jc w:val="center"/>
        <w:rPr/>
      </w:pPr>
      <w:r>
        <w:rPr>
          <w:rFonts w:eastAsia="ＭＳ 明朝" w:cs=""/>
          <w:b/>
          <w:color w:val="2E74B5"/>
          <w:kern w:val="0"/>
          <w:sz w:val="21"/>
          <w:szCs w:val="22"/>
          <w:lang w:val="en-US" w:eastAsia="en-US" w:bidi="ar-SA"/>
        </w:rPr>
        <w:t>Technical Delivery Manager</w:t>
      </w:r>
      <w:r>
        <w:rPr/>
        <w:t xml:space="preserve"> </w:t>
      </w:r>
    </w:p>
    <w:p>
      <w:pPr>
        <w:pStyle w:val="Normal"/>
        <w:pBdr>
          <w:bottom w:val="single" w:sz="6" w:space="1" w:color="1B2A4A"/>
        </w:pBdr>
        <w:spacing w:before="40" w:after="120"/>
        <w:rPr/>
      </w:pPr>
      <w:r>
        <w:rPr/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SUMMARY</w:t>
      </w:r>
    </w:p>
    <w:p>
      <w:pPr>
        <w:pStyle w:val="BodyText"/>
        <w:spacing w:before="0" w:after="60"/>
        <w:rPr>
          <w:color w:val="333333"/>
          <w:sz w:val="20"/>
        </w:rPr>
      </w:pPr>
      <w:r>
        <w:rPr>
          <w:color w:val="333333"/>
          <w:sz w:val="20"/>
        </w:rPr>
        <w:t xml:space="preserve">Technical Delivery Manager with 20+ years engineering reliable, high-scale platforms across e-commerce, fintech, and government sectors. Track record of inheriting broken or absent systems and delivering measurable outcomes — from an 8x order capacity increase on a platform generating 1B SAR annual revenue, to greenfield government digital transformation with zero scope disputes. Equally fluent in architecture decisions, cross-functional team leadership, and executive stakeholder management. 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CORE COMPETENCIES</w:t>
      </w:r>
    </w:p>
    <w:tbl>
      <w:tblPr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Project &amp; Program Management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Enterprise Architecture (TOGAF)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Digital Transformation Strategy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Agile / Scrum Delivery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Stakeholder &amp; Executive Engagement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Risk &amp; Issue Management</w:t>
            </w:r>
          </w:p>
        </w:tc>
      </w:tr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Team Building &amp; Leadership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Budgeting &amp; Resource Planning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Vendor &amp; Contract Management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Legacy System Modernization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Cloud &amp; Hybrid Architecture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Business Process Re-engineering</w:t>
            </w:r>
          </w:p>
        </w:tc>
      </w:tr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CI/CD &amp; DevOps Practices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Requirements Analysis (BRD/FRD)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Change Management</w:t>
            </w:r>
          </w:p>
        </w:tc>
      </w:tr>
    </w:tbl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TECHNICAL PROFICIENCY</w:t>
      </w:r>
    </w:p>
    <w:p>
      <w:pPr>
        <w:pStyle w:val="Normal"/>
        <w:spacing w:before="20" w:after="40"/>
        <w:rPr>
          <w:color w:val="333333"/>
          <w:sz w:val="20"/>
        </w:rPr>
      </w:pPr>
      <w:r>
        <w:rPr>
          <w:b/>
          <w:color w:val="333333"/>
          <w:sz w:val="20"/>
        </w:rPr>
        <w:t>Cloud &amp; Infrastructure:</w:t>
      </w:r>
      <w:r>
        <w:rPr>
          <w:color w:val="333333"/>
          <w:sz w:val="20"/>
        </w:rPr>
        <w:t xml:space="preserve"> Microsoft Azure, Cloud &amp; Hybrid Architectures, SQL Server (Always On), Redis High Availability. </w:t>
      </w:r>
    </w:p>
    <w:p>
      <w:pPr>
        <w:pStyle w:val="Normal"/>
        <w:spacing w:before="20" w:after="40"/>
        <w:rPr>
          <w:color w:val="333333"/>
          <w:sz w:val="20"/>
        </w:rPr>
      </w:pPr>
      <w:r>
        <w:rPr>
          <w:b/>
          <w:color w:val="333333"/>
          <w:sz w:val="20"/>
        </w:rPr>
        <w:t>Enterprise Solutions &amp; Tools:</w:t>
      </w:r>
      <w:r>
        <w:rPr>
          <w:color w:val="333333"/>
          <w:sz w:val="20"/>
        </w:rPr>
        <w:t xml:space="preserve"> Jira, Microsoft Project, Confluence, Enterprise ERP Data Pipelines. </w:t>
      </w:r>
    </w:p>
    <w:p>
      <w:pPr>
        <w:pStyle w:val="Normal"/>
        <w:spacing w:before="20" w:after="40"/>
        <w:rPr>
          <w:color w:val="333333"/>
          <w:sz w:val="20"/>
        </w:rPr>
      </w:pPr>
      <w:r>
        <w:rPr>
          <w:b/>
          <w:color w:val="333333"/>
          <w:sz w:val="20"/>
        </w:rPr>
        <w:t>Modern Software Frameworks:</w:t>
      </w:r>
      <w:r>
        <w:rPr>
          <w:color w:val="333333"/>
          <w:sz w:val="20"/>
        </w:rPr>
        <w:t xml:space="preserve"> C# .NET Core, Microservices, RESTful APIs, Python (Data Science, Applied AI). </w:t>
        <w:br/>
      </w:r>
      <w:r>
        <w:rPr>
          <w:b/>
          <w:bCs/>
        </w:rPr>
        <w:t>Applied AI &amp; LLMs:</w:t>
      </w:r>
      <w:r>
        <w:rPr/>
        <w:t xml:space="preserve"> Local LLM deployment, Retrieval-Augmented Generation (RAG), LangChain 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EXPERIENCE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 xml:space="preserve">Technical Delivery Manager </w:t>
      </w:r>
      <w:r>
        <w:rPr/>
        <w:tab/>
      </w:r>
      <w:r>
        <w:rPr>
          <w:color w:val="555555"/>
          <w:sz w:val="20"/>
        </w:rPr>
        <w:t>Feb 2025 – Present</w:t>
      </w:r>
    </w:p>
    <w:p>
      <w:pPr>
        <w:pStyle w:val="Normal"/>
        <w:spacing w:before="0" w:after="60"/>
        <w:rPr>
          <w:i/>
          <w:color w:val="2E74B5"/>
          <w:sz w:val="20"/>
        </w:rPr>
      </w:pPr>
      <w:r>
        <w:rPr>
          <w:i/>
          <w:color w:val="2E74B5"/>
          <w:sz w:val="20"/>
        </w:rPr>
        <w:t>EY, Amman, Jordan</w:t>
      </w:r>
    </w:p>
    <w:p>
      <w:pPr>
        <w:pStyle w:val="Normal"/>
        <w:spacing w:before="0" w:after="60"/>
        <w:rPr>
          <w:color w:val="333333"/>
          <w:sz w:val="20"/>
        </w:rPr>
      </w:pPr>
      <w:r>
        <w:rPr>
          <w:color w:val="333333"/>
          <w:sz w:val="20"/>
        </w:rPr>
        <w:t xml:space="preserve">Led end-to-end technical delivery for a new platform engagement for a newly established Saudi government entity, replacing entirely manual, email/spreadsheet-based operations with a purpose-built, multi-stakeholder digital platform. </w:t>
      </w:r>
    </w:p>
    <w:p>
      <w:pPr>
        <w:pStyle w:val="BodyText"/>
        <w:numPr>
          <w:ilvl w:val="0"/>
          <w:numId w:val="7"/>
        </w:numPr>
        <w:spacing w:before="0" w:after="0"/>
        <w:rPr>
          <w:sz w:val="20"/>
        </w:rPr>
      </w:pPr>
      <w:r>
        <w:rPr>
          <w:sz w:val="20"/>
        </w:rPr>
        <w:t xml:space="preserve">Drove requirements engineering as a core delivery work-stream — conducting structured workshops three times weekly to map and validate complex business process workflows using MS Visio, translating them into a comprehensive Business Requirements Document (BRD) encompassing process flows, epics, features, user stories, and UX wire-frames. </w:t>
      </w:r>
    </w:p>
    <w:p>
      <w:pPr>
        <w:pStyle w:val="BodyText"/>
        <w:numPr>
          <w:ilvl w:val="0"/>
          <w:numId w:val="7"/>
        </w:numPr>
        <w:spacing w:before="0" w:after="0"/>
        <w:rPr>
          <w:sz w:val="20"/>
        </w:rPr>
      </w:pPr>
      <w:r>
        <w:rPr>
          <w:sz w:val="20"/>
        </w:rPr>
        <w:t xml:space="preserve">Secured formal client sign-off on the BRD from the client Product Manager, establishing a clear and traceable requirements baseline before development commenced — the project's most critical risk-mitigation milestone. </w:t>
      </w:r>
    </w:p>
    <w:p>
      <w:pPr>
        <w:pStyle w:val="BodyText"/>
        <w:numPr>
          <w:ilvl w:val="0"/>
          <w:numId w:val="7"/>
        </w:numPr>
        <w:spacing w:before="0" w:after="0"/>
        <w:rPr>
          <w:sz w:val="20"/>
        </w:rPr>
      </w:pPr>
      <w:r>
        <w:rPr>
          <w:sz w:val="20"/>
        </w:rPr>
        <w:t xml:space="preserve">Governed Agile-Scrum delivery across a 5-person cross-functional team, running 2-week sprint cycles with daily stand-ups and end-of-sprint client review sessions, ensuring continuous stakeholder alignment throughout delivery. </w:t>
      </w:r>
    </w:p>
    <w:p>
      <w:pPr>
        <w:pStyle w:val="BodyText"/>
        <w:numPr>
          <w:ilvl w:val="0"/>
          <w:numId w:val="7"/>
        </w:numPr>
        <w:spacing w:before="0" w:after="40"/>
        <w:contextualSpacing/>
        <w:rPr>
          <w:sz w:val="20"/>
        </w:rPr>
      </w:pPr>
      <w:r>
        <w:rPr>
          <w:sz w:val="20"/>
        </w:rPr>
        <w:t xml:space="preserve">Achieved full client acceptance and formal sign-off upon delivery, with zero scope disputes — a direct result of rigorous upfront requirements traceability and structured sprint-by-sprint validation. </w:t>
      </w:r>
    </w:p>
    <w:p>
      <w:pPr>
        <w:pStyle w:val="BodyText"/>
        <w:spacing w:before="0" w:after="40"/>
        <w:contextualSpacing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Technical Delivery Manager / Team Lead</w:t>
      </w:r>
      <w:r>
        <w:rPr/>
        <w:tab/>
      </w:r>
      <w:r>
        <w:rPr>
          <w:color w:val="555555"/>
          <w:sz w:val="20"/>
        </w:rPr>
        <w:t>2018 – 2024</w:t>
      </w:r>
    </w:p>
    <w:p>
      <w:pPr>
        <w:pStyle w:val="Normal"/>
        <w:spacing w:before="0" w:after="60"/>
        <w:rPr>
          <w:i/>
          <w:color w:val="2E74B5"/>
          <w:sz w:val="20"/>
        </w:rPr>
      </w:pPr>
      <w:r>
        <w:rPr>
          <w:i/>
          <w:color w:val="2E74B5"/>
          <w:sz w:val="20"/>
        </w:rPr>
        <w:t>MStart, Amman, Jordan</w:t>
      </w:r>
    </w:p>
    <w:p>
      <w:pPr>
        <w:pStyle w:val="Normal"/>
        <w:spacing w:before="0" w:after="60"/>
        <w:rPr>
          <w:i/>
          <w:color w:val="2E74B5"/>
          <w:sz w:val="20"/>
        </w:rPr>
      </w:pPr>
      <w:r>
        <w:rPr>
          <w:color w:val="333333"/>
          <w:sz w:val="20"/>
        </w:rPr>
        <w:t xml:space="preserve">Brought on to architect and lead a full backend rewrite of a high-traffic digital goods e-commerce platform operating across web, Android mobile, Android EVD machines, and a third-party reseller API network — replacing a legacy system that crashed under 15,000+ daily orders. 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360" w:start="809" w:end="0"/>
        <w:jc w:val="start"/>
        <w:rPr>
          <w:sz w:val="20"/>
        </w:rPr>
      </w:pPr>
      <w:r>
        <w:rPr>
          <w:sz w:val="20"/>
        </w:rPr>
        <w:t>Delivered an 8x capacity increase — new backend handled 120,000+ daily orders with latency dropping from 3s to sub-200ms — directly unlocking significant revenue growth.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360" w:start="809" w:end="0"/>
        <w:jc w:val="start"/>
        <w:rPr>
          <w:sz w:val="20"/>
        </w:rPr>
      </w:pPr>
      <w:r>
        <w:rPr>
          <w:sz w:val="20"/>
        </w:rPr>
        <w:t>Led end-to-end technical delivery across a 15-person cross-functional team, governing architecture, recruitment, resource allocation, and daily Agile-Scrum operations over a 6-year engagement, reporting directly to executive leadership.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360" w:start="809" w:end="0"/>
        <w:jc w:val="start"/>
        <w:rPr>
          <w:sz w:val="20"/>
        </w:rPr>
      </w:pPr>
      <w:r>
        <w:rPr>
          <w:sz w:val="20"/>
        </w:rPr>
        <w:t>Modernized a mission-critical B2B platform serving 7,000+ retailers and wholesalers, integrating ~30 external vendor and payment APIs across a growing digital marketplace.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360" w:start="809" w:end="0"/>
        <w:jc w:val="start"/>
        <w:rPr>
          <w:sz w:val="20"/>
        </w:rPr>
      </w:pPr>
      <w:r>
        <w:rPr>
          <w:sz w:val="20"/>
        </w:rPr>
        <w:t xml:space="preserve">Redesigned production infrastructure for 99.9% uptime using SQL Server </w:t>
      </w:r>
      <w:r>
        <w:rPr>
          <w:sz w:val="20"/>
        </w:rPr>
        <w:t>High Availability</w:t>
      </w:r>
      <w:r>
        <w:rPr>
          <w:sz w:val="20"/>
        </w:rPr>
        <w:t xml:space="preserve"> and a multi-layer caching architecture (SQL Server, Redis, Memcached), executing a zero-downtime database cut-over on a live environment.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360" w:start="809" w:end="0"/>
        <w:jc w:val="start"/>
        <w:rPr>
          <w:sz w:val="20"/>
        </w:rPr>
      </w:pPr>
      <w:r>
        <w:rPr>
          <w:sz w:val="20"/>
        </w:rPr>
        <w:t>Led ~50 production releases, moving from weekly to predictable monthly cycles with deployment checklists and rollback procedures, cutting deployment windows from ~2 hours to 30–60 minutes and significantly reducing production incidents.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360" w:start="809" w:end="0"/>
        <w:jc w:val="start"/>
        <w:rPr>
          <w:sz w:val="20"/>
        </w:rPr>
      </w:pPr>
      <w:r>
        <w:rPr>
          <w:sz w:val="20"/>
        </w:rPr>
        <w:t>Designed a database archiving strategy that reduced the operational database from ~1.6 TB to 600 GB, and introduced a dedicated read-only reporting database to eliminate reporting load from production during peak hours.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360" w:start="809" w:end="0"/>
        <w:jc w:val="start"/>
        <w:rPr>
          <w:sz w:val="20"/>
        </w:rPr>
      </w:pPr>
      <w:r>
        <w:rPr>
          <w:sz w:val="20"/>
        </w:rPr>
        <w:t>Recruited and hired 4 engineers from ~20 candidates, mentored junior developers, and established coding standards and structured performance evaluations.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Co-Founder &amp;</w:t>
      </w:r>
      <w:r>
        <w:rPr>
          <w:rFonts w:eastAsia="ＭＳ 明朝" w:cs=""/>
          <w:b/>
          <w:color w:val="1B2A4A"/>
          <w:kern w:val="0"/>
          <w:sz w:val="22"/>
          <w:szCs w:val="22"/>
          <w:lang w:val="en-US" w:eastAsia="en-US" w:bidi="ar-SA"/>
        </w:rPr>
        <w:t xml:space="preserve"> Head of Technical Delivery</w:t>
      </w:r>
      <w:r>
        <w:rPr/>
        <w:t xml:space="preserve"> (</w:t>
      </w:r>
      <w:r>
        <w:rPr>
          <w:b/>
          <w:color w:val="1B2A4A"/>
          <w:sz w:val="22"/>
        </w:rPr>
        <w:t>CTO)</w:t>
      </w:r>
      <w:r>
        <w:rPr/>
        <w:tab/>
      </w:r>
      <w:r>
        <w:rPr>
          <w:color w:val="555555"/>
          <w:sz w:val="20"/>
        </w:rPr>
        <w:t>2017 – 2018</w:t>
      </w:r>
    </w:p>
    <w:p>
      <w:pPr>
        <w:pStyle w:val="Normal"/>
        <w:spacing w:before="0" w:after="60"/>
        <w:rPr>
          <w:i/>
          <w:color w:val="2E74B5"/>
          <w:sz w:val="20"/>
        </w:rPr>
      </w:pPr>
      <w:r>
        <w:rPr>
          <w:i/>
          <w:color w:val="2E74B5"/>
          <w:sz w:val="20"/>
        </w:rPr>
        <w:t>Kafou Services, Jordan</w:t>
      </w:r>
    </w:p>
    <w:p>
      <w:pPr>
        <w:pStyle w:val="Normal"/>
        <w:numPr>
          <w:ilvl w:val="0"/>
          <w:numId w:val="13"/>
        </w:numPr>
        <w:spacing w:before="0" w:after="60"/>
        <w:rPr/>
      </w:pPr>
      <w:r>
        <w:rPr>
          <w:color w:val="333333"/>
          <w:sz w:val="20"/>
        </w:rPr>
        <w:t xml:space="preserve">Co-founded and led the technical strategy and full product delivery of a two-sided mobile marketplace connecting end-users with local service providers. </w:t>
      </w:r>
    </w:p>
    <w:p>
      <w:pPr>
        <w:pStyle w:val="BodyText"/>
        <w:widowControl/>
        <w:numPr>
          <w:ilvl w:val="0"/>
          <w:numId w:val="12"/>
        </w:numPr>
        <w:suppressAutoHyphens w:val="true"/>
        <w:bidi w:val="0"/>
        <w:spacing w:lineRule="auto" w:line="276"/>
        <w:ind w:hanging="283" w:start="720"/>
        <w:jc w:val="start"/>
        <w:rPr>
          <w:rFonts w:ascii="Calibri" w:hAnsi="Calibri" w:eastAsia="ＭＳ 明朝" w:cs=""/>
          <w:color w:val="333333"/>
          <w:kern w:val="0"/>
          <w:sz w:val="20"/>
          <w:szCs w:val="22"/>
          <w:lang w:val="en-US" w:eastAsia="en-US" w:bidi="ar-SA"/>
        </w:rPr>
      </w:pPr>
      <w:r>
        <w:rPr>
          <w:rFonts w:eastAsia="ＭＳ 明朝" w:cs=""/>
          <w:color w:val="333333"/>
          <w:kern w:val="0"/>
          <w:sz w:val="20"/>
          <w:szCs w:val="22"/>
          <w:lang w:val="en-US" w:eastAsia="en-US" w:bidi="ar-SA"/>
        </w:rPr>
        <w:t xml:space="preserve">Designed and developed backend services, web administration portals, and mobile application APIs while integrating payment processing, geolocation, and messaging services. </w:t>
      </w:r>
    </w:p>
    <w:p>
      <w:pPr>
        <w:pStyle w:val="ListBullet"/>
        <w:numPr>
          <w:ilvl w:val="0"/>
          <w:numId w:val="0"/>
        </w:numPr>
        <w:spacing w:before="0" w:after="40"/>
        <w:ind w:hanging="0" w:start="567"/>
        <w:contextualSpacing/>
        <w:rPr>
          <w:color w:val="333333"/>
          <w:sz w:val="20"/>
        </w:rPr>
      </w:pPr>
      <w:r>
        <w:rPr>
          <w:color w:val="333333"/>
          <w:sz w:val="20"/>
        </w:rPr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rStyle w:val="Strong"/>
          <w:color w:val="1B2A4A"/>
          <w:sz w:val="22"/>
        </w:rPr>
        <w:t>ERP Systems &amp; Financial Data Governance Specialist</w:t>
      </w:r>
      <w:r>
        <w:rPr>
          <w:b/>
          <w:color w:val="1B2A4A"/>
          <w:sz w:val="22"/>
        </w:rPr>
        <w:t xml:space="preserve">  </w:t>
      </w:r>
      <w:r>
        <w:rPr/>
        <w:tab/>
      </w:r>
      <w:r>
        <w:rPr>
          <w:color w:val="555555"/>
          <w:sz w:val="20"/>
        </w:rPr>
        <w:t>2013 – 2017</w:t>
      </w:r>
    </w:p>
    <w:p>
      <w:pPr>
        <w:pStyle w:val="Normal"/>
        <w:spacing w:before="0" w:after="60"/>
        <w:rPr>
          <w:i/>
          <w:color w:val="2E74B5"/>
          <w:sz w:val="20"/>
        </w:rPr>
      </w:pPr>
      <w:r>
        <w:rPr>
          <w:i/>
          <w:color w:val="2E74B5"/>
          <w:sz w:val="20"/>
        </w:rPr>
        <w:t>Mahmoud Saleh Abbar, Jeddah, Saudi Arabia</w:t>
      </w:r>
    </w:p>
    <w:p>
      <w:pPr>
        <w:pStyle w:val="Normal"/>
        <w:spacing w:before="0" w:after="60"/>
        <w:rPr>
          <w:i/>
          <w:color w:val="2E74B5"/>
          <w:sz w:val="20"/>
        </w:rPr>
      </w:pPr>
      <w:r>
        <w:rPr>
          <w:i/>
          <w:color w:val="2E74B5"/>
          <w:sz w:val="20"/>
        </w:rPr>
      </w:r>
    </w:p>
    <w:p>
      <w:pPr>
        <w:pStyle w:val="Normal"/>
        <w:numPr>
          <w:ilvl w:val="0"/>
          <w:numId w:val="11"/>
        </w:numPr>
        <w:spacing w:before="0" w:after="60"/>
        <w:rPr/>
      </w:pPr>
      <w:r>
        <w:rPr>
          <w:color w:val="333333"/>
          <w:sz w:val="20"/>
        </w:rPr>
        <w:t xml:space="preserve">Recruited directly by the CFO to resolve a critical financial data integrity crisis — years of accumulated errors in the ERP had rendered core financial outputs unreliable and unauditable.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sz w:val="20"/>
        </w:rPr>
      </w:pPr>
      <w:r>
        <w:rPr>
          <w:sz w:val="20"/>
        </w:rPr>
        <w:t xml:space="preserve">Conducted a forensic audit of the ERP database, reviewing and reconciling millions of records against physical archives across multiple fiscal years until each period produced accurate, trustworthy financial figures.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sz w:val="20"/>
        </w:rPr>
      </w:pPr>
      <w:r>
        <w:rPr>
          <w:sz w:val="20"/>
        </w:rPr>
        <w:t xml:space="preserve">Designed and delivered complex custom financial reports for C-suite consumption that the ERP could not produce natively, giving leadership accurate visibility into business performance for the first time.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40"/>
        <w:ind w:hanging="283" w:start="720"/>
        <w:contextualSpacing/>
        <w:rPr>
          <w:sz w:val="20"/>
        </w:rPr>
      </w:pPr>
      <w:r>
        <w:rPr>
          <w:sz w:val="20"/>
        </w:rPr>
        <w:t xml:space="preserve">Sustained data quality and ERP integrity over a 4-year engagement, establishing processes to prevent recurrence. </w:t>
      </w:r>
    </w:p>
    <w:p>
      <w:pPr>
        <w:pStyle w:val="BodyText"/>
        <w:spacing w:before="0" w:after="40"/>
        <w:contextualSpacing/>
        <w:rPr>
          <w:sz w:val="20"/>
        </w:rPr>
      </w:pPr>
      <w:r>
        <w:rPr>
          <w:sz w:val="20"/>
        </w:rPr>
      </w:r>
    </w:p>
    <w:p>
      <w:pPr>
        <w:pStyle w:val="BodyText"/>
        <w:spacing w:before="0" w:after="40"/>
        <w:contextualSpacing/>
        <w:rPr>
          <w:sz w:val="20"/>
        </w:rPr>
      </w:pPr>
      <w:r>
        <w:rPr>
          <w:sz w:val="20"/>
        </w:rPr>
      </w:r>
    </w:p>
    <w:p>
      <w:pPr>
        <w:pStyle w:val="BodyText"/>
        <w:spacing w:before="0" w:after="40"/>
        <w:contextualSpacing/>
        <w:rPr>
          <w:sz w:val="20"/>
        </w:rPr>
      </w:pPr>
      <w:r>
        <w:rPr>
          <w:sz w:val="20"/>
        </w:rPr>
      </w:r>
    </w:p>
    <w:p>
      <w:pPr>
        <w:pStyle w:val="BodyText"/>
        <w:spacing w:before="0" w:after="40"/>
        <w:contextualSpacing/>
        <w:rPr>
          <w:sz w:val="20"/>
        </w:rPr>
      </w:pPr>
      <w:r>
        <w:rPr>
          <w:sz w:val="20"/>
        </w:rPr>
      </w:r>
    </w:p>
    <w:p>
      <w:pPr>
        <w:pStyle w:val="BodyText"/>
        <w:spacing w:before="0" w:after="40"/>
        <w:contextualSpacing/>
        <w:rPr>
          <w:sz w:val="20"/>
        </w:rPr>
      </w:pPr>
      <w:r>
        <w:rPr>
          <w:sz w:val="20"/>
        </w:rPr>
      </w:r>
    </w:p>
    <w:p>
      <w:pPr>
        <w:pStyle w:val="BodyText"/>
        <w:spacing w:before="0" w:after="40"/>
        <w:contextualSpacing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 xml:space="preserve">Product Delivery Manager &amp; Lead Enterprise Architect </w:t>
      </w:r>
      <w:r>
        <w:rPr/>
        <w:tab/>
      </w:r>
      <w:r>
        <w:rPr>
          <w:color w:val="555555"/>
          <w:sz w:val="20"/>
        </w:rPr>
        <w:t>2005 – 2013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Grant Thornton, Saudi Arabia</w:t>
      </w:r>
    </w:p>
    <w:p>
      <w:pPr>
        <w:pStyle w:val="ListBullet"/>
        <w:numPr>
          <w:ilvl w:val="0"/>
          <w:numId w:val="0"/>
        </w:numPr>
        <w:spacing w:before="0" w:after="40"/>
        <w:ind w:hanging="0" w:start="0"/>
        <w:contextualSpacing/>
        <w:rPr/>
      </w:pPr>
      <w:r>
        <w:rPr/>
        <w:t>Led the complete redesign of an Operational Risk Management (ORM) platform, transforming a legacy single-user Access application into a scalable, multilingual, multi-tenant web solution that became a key business offering across the EMEA region.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40"/>
        <w:ind w:hanging="360" w:start="360" w:end="0"/>
        <w:contextualSpacing/>
        <w:jc w:val="start"/>
        <w:rPr/>
      </w:pPr>
      <w:r>
        <w:rPr/>
        <w:t>Served as sole Architect and Lead Developer to design and engineer a highly secure, multilingual ASP.NET enterprise platform tailored for regulated financial environments.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40"/>
        <w:ind w:hanging="360" w:start="360" w:end="0"/>
        <w:contextualSpacing/>
        <w:jc w:val="start"/>
        <w:rPr/>
      </w:pPr>
      <w:r>
        <w:rPr/>
        <w:t>Drove exceptional commercial growth as Product Owner, expanding client acquisition from 5 to 40+ premier banks and insurance companies across EMEA.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40"/>
        <w:ind w:hanging="360" w:start="360" w:end="0"/>
        <w:contextualSpacing/>
        <w:jc w:val="start"/>
        <w:rPr/>
      </w:pPr>
      <w:r>
        <w:rPr/>
        <w:t>Defined the product roadmap, UX, technical architecture, reporting framework, multilingual capabilities, and security model, independently making all technology decisions.</w:t>
      </w:r>
    </w:p>
    <w:p>
      <w:pPr>
        <w:pStyle w:val="ListBullet"/>
        <w:numPr>
          <w:ilvl w:val="0"/>
          <w:numId w:val="1"/>
        </w:numPr>
        <w:spacing w:before="0" w:after="40"/>
        <w:ind w:hanging="0" w:start="0"/>
        <w:contextualSpacing/>
        <w:rPr/>
      </w:pPr>
      <w:r>
        <w:rPr/>
        <w:t>Delivered customer implementations and training across Saudi Arabia, Jordan, Qatar, Lebanon, India, and the UK, collaborating with Grant Thornton SA and CGC UK leadership.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40"/>
        <w:ind w:hanging="360" w:start="360" w:end="0"/>
        <w:contextualSpacing/>
        <w:jc w:val="start"/>
        <w:rPr/>
      </w:pPr>
      <w:r>
        <w:rPr/>
        <w:t>Established long-term C-level client relationships through architecture guidance and Tier-3 support over an eight-year engagement.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EDUCATION</w:t>
      </w:r>
    </w:p>
    <w:p>
      <w:pPr>
        <w:pStyle w:val="Normal"/>
        <w:spacing w:before="80" w:after="40"/>
        <w:rPr/>
      </w:pPr>
      <w:r>
        <w:rPr>
          <w:b/>
          <w:color w:val="1B2A4A"/>
          <w:sz w:val="21"/>
        </w:rPr>
        <w:t>Bachelor's Degree in Business Administration</w:t>
      </w:r>
    </w:p>
    <w:p>
      <w:pPr>
        <w:pStyle w:val="Normal"/>
        <w:spacing w:before="0" w:after="40"/>
        <w:rPr/>
      </w:pPr>
      <w:r>
        <w:rPr>
          <w:color w:val="333333"/>
          <w:sz w:val="20"/>
        </w:rPr>
        <w:t>Applied Science University, Amman, Jordan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CERTIFICATIONS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Project Management Professional (PMP®)</w:t>
      </w:r>
      <w:r>
        <w:rPr>
          <w:color w:val="555555"/>
          <w:sz w:val="20"/>
        </w:rPr>
        <w:t xml:space="preserve">  |  Project Management Institute (PMI)</w:t>
      </w:r>
      <w:r>
        <w:rPr/>
        <w:tab/>
      </w:r>
      <w:r>
        <w:rPr>
          <w:color w:val="555555"/>
          <w:sz w:val="19"/>
        </w:rPr>
        <w:t>March 2026 – March 2029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TOGAF Foundation (Level 1)</w:t>
      </w:r>
      <w:r>
        <w:rPr/>
        <w:tab/>
      </w:r>
      <w:r>
        <w:rPr>
          <w:color w:val="555555"/>
          <w:sz w:val="19"/>
        </w:rPr>
        <w:t>In Progress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Microsoft Certified: Azure Fundamentals (AZ-900)</w:t>
      </w:r>
      <w:r>
        <w:rPr>
          <w:color w:val="555555"/>
          <w:sz w:val="20"/>
        </w:rPr>
        <w:t xml:space="preserve">  |  Microsoft</w:t>
      </w:r>
      <w:r>
        <w:rPr/>
        <w:tab/>
      </w:r>
      <w:r>
        <w:rPr>
          <w:color w:val="555555"/>
          <w:sz w:val="19"/>
        </w:rPr>
        <w:t>November 2025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EY Applied AI – Bronze Learning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2025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Building Business Acumen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2026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Developing Client Relationships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2026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Applied Data Science with Python – Level 2</w:t>
      </w:r>
      <w:r>
        <w:rPr>
          <w:color w:val="555555"/>
          <w:sz w:val="20"/>
        </w:rPr>
        <w:t xml:space="preserve">  |  IBM</w:t>
      </w:r>
      <w:r>
        <w:rPr/>
        <w:tab/>
      </w:r>
      <w:r>
        <w:rPr>
          <w:color w:val="555555"/>
          <w:sz w:val="19"/>
        </w:rPr>
        <w:t>2017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Python for Data Science</w:t>
      </w:r>
      <w:r>
        <w:rPr>
          <w:color w:val="555555"/>
          <w:sz w:val="20"/>
        </w:rPr>
        <w:t xml:space="preserve">  |  IBM</w:t>
      </w:r>
      <w:r>
        <w:rPr/>
        <w:tab/>
      </w:r>
      <w:r>
        <w:rPr>
          <w:color w:val="555555"/>
          <w:sz w:val="19"/>
        </w:rPr>
        <w:t>2017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Advanced Certified Operational Risk Executive (CORE2)</w:t>
      </w:r>
      <w:r>
        <w:rPr>
          <w:color w:val="555555"/>
          <w:sz w:val="20"/>
        </w:rPr>
        <w:t xml:space="preserve">  |   Grant Thornton</w:t>
      </w:r>
      <w:r>
        <w:rPr/>
        <w:tab/>
      </w:r>
      <w:r>
        <w:rPr>
          <w:color w:val="555555"/>
          <w:sz w:val="19"/>
        </w:rPr>
        <w:t>2010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Certified Operational Risk Executive (CORE)</w:t>
      </w:r>
      <w:r>
        <w:rPr>
          <w:color w:val="555555"/>
          <w:sz w:val="20"/>
        </w:rPr>
        <w:t xml:space="preserve">  |  Grant Thornton</w:t>
      </w:r>
      <w:r>
        <w:rPr/>
        <w:tab/>
      </w:r>
      <w:r>
        <w:rPr>
          <w:color w:val="555555"/>
          <w:sz w:val="19"/>
        </w:rPr>
        <w:t>April 2007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LANGUAGES</w:t>
      </w:r>
    </w:p>
    <w:p>
      <w:pPr>
        <w:pStyle w:val="Normal"/>
        <w:spacing w:before="80" w:after="40"/>
        <w:rPr/>
      </w:pPr>
      <w:r>
        <w:rPr>
          <w:b/>
          <w:color w:val="1B2A4A"/>
          <w:sz w:val="20"/>
        </w:rPr>
        <w:t xml:space="preserve">Arabic:  </w:t>
      </w:r>
      <w:r>
        <w:rPr>
          <w:color w:val="333333"/>
          <w:sz w:val="20"/>
        </w:rPr>
        <w:t>Native</w:t>
      </w:r>
      <w:r>
        <w:rPr>
          <w:color w:val="555555"/>
          <w:sz w:val="20"/>
        </w:rPr>
        <w:t xml:space="preserve">     ∙     </w:t>
      </w:r>
      <w:r>
        <w:rPr>
          <w:b/>
          <w:color w:val="1B2A4A"/>
          <w:sz w:val="20"/>
        </w:rPr>
        <w:t xml:space="preserve">English:  </w:t>
      </w:r>
      <w:r>
        <w:rPr>
          <w:color w:val="333333"/>
          <w:sz w:val="20"/>
        </w:rPr>
        <w:t>Fluent (Professional Working Proficiency)</w:t>
      </w:r>
      <w:r>
        <w:rPr>
          <w:color w:val="555555"/>
          <w:sz w:val="20"/>
        </w:rPr>
        <w:t xml:space="preserve">     ∙     </w:t>
      </w:r>
      <w:r>
        <w:rPr>
          <w:b/>
          <w:color w:val="1B2A4A"/>
          <w:sz w:val="20"/>
        </w:rPr>
        <w:t xml:space="preserve">French:  </w:t>
      </w:r>
      <w:r>
        <w:rPr>
          <w:color w:val="333333"/>
          <w:sz w:val="20"/>
        </w:rPr>
        <w:t>Intermediate</w:t>
      </w:r>
    </w:p>
    <w:sectPr>
      <w:type w:val="nextPage"/>
      <w:pgSz w:w="12240" w:h="15840"/>
      <w:pgMar w:left="1134" w:right="1134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1157"/>
        </w:tabs>
        <w:ind w:start="115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17"/>
        </w:tabs>
        <w:ind w:start="151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877"/>
        </w:tabs>
        <w:ind w:start="187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237"/>
        </w:tabs>
        <w:ind w:start="223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97"/>
        </w:tabs>
        <w:ind w:start="259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957"/>
        </w:tabs>
        <w:ind w:start="295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17"/>
        </w:tabs>
        <w:ind w:start="331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677"/>
        </w:tabs>
        <w:ind w:start="367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037"/>
        </w:tabs>
        <w:ind w:start="4037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40"/>
      <w:jc w:val="start"/>
    </w:pPr>
    <w:rPr>
      <w:rFonts w:ascii="Calibri" w:hAnsi="Calibri" w:eastAsia="ＭＳ 明朝" w:cs=""/>
      <w:color w:val="333333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amjad-m-masoud-pmp-9308aa11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Application>LibreOffice/25.8.6.2$Windows_X86_64 LibreOffice_project/b4b39682cd9868fa725bc664aff94278d315bd04</Application>
  <AppVersion>15.0000</AppVersion>
  <Pages>3</Pages>
  <Words>1043</Words>
  <Characters>6775</Characters>
  <CharactersWithSpaces>7798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2026-07-20T09:42:09Z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