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2"/>
          <w:szCs w:val="32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color w:val="444444"/>
          <w:sz w:val="21"/>
          <w:szCs w:val="21"/>
        </w:rPr>
        <w:t xml:space="preserve">Technical Leader | Enterprise Architecture, Engineering Delivery 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Amman, Jordan   ∙   amjadmasoud@hotmail.com   ∙   (+962) 799 312 787   ∙   LinkedIn   ∙   amjadov.github.io/web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sz w:val="19"/>
          <w:szCs w:val="19"/>
        </w:rPr>
        <w:t xml:space="preserve">Technical leader with 20+ years spanning </w:t>
      </w:r>
      <w:r>
        <w:rPr>
          <w:rFonts w:eastAsia="Calibri" w:cs="Calibri" w:ascii="Calibri" w:hAnsi="Calibri"/>
          <w:b/>
          <w:bCs/>
          <w:sz w:val="19"/>
          <w:szCs w:val="19"/>
        </w:rPr>
        <w:t>hands-on enterprise architecture, engineering management, and delivery leadership</w:t>
      </w:r>
      <w:r>
        <w:rPr>
          <w:rFonts w:eastAsia="Calibri" w:cs="Calibri" w:ascii="Calibri" w:hAnsi="Calibri"/>
          <w:sz w:val="19"/>
          <w:szCs w:val="19"/>
        </w:rPr>
        <w:t xml:space="preserve"> — as sole Architect, CTO, and Technical Delivery Manager — across fintech, e-commerce, and government sectors. Built and led engineering teams of up to 15, personally owning architecture decisions, code quality, and production outcomes rather than delegating them: designed and shipped a multilingual ASP.NET platform as sole architect/developer for 8 years, architected a backend rewrite that delivered an </w:t>
      </w:r>
      <w:r>
        <w:rPr>
          <w:rFonts w:eastAsia="Calibri" w:cs="Calibri" w:ascii="Calibri" w:hAnsi="Calibri"/>
          <w:b/>
          <w:bCs/>
          <w:sz w:val="19"/>
          <w:szCs w:val="19"/>
        </w:rPr>
        <w:t>8x order-capacity increase</w:t>
      </w:r>
      <w:r>
        <w:rPr>
          <w:rFonts w:eastAsia="Calibri" w:cs="Calibri" w:ascii="Calibri" w:hAnsi="Calibri"/>
          <w:sz w:val="19"/>
          <w:szCs w:val="19"/>
        </w:rPr>
        <w:t xml:space="preserve"> on a platform processing 120,000+ daily orders, and currently work hands-on in Python, RAG pipelines, and local LLM deployment. Consistent track record of translating engineering rigor into measurable delivery: 99.9% uptime redesigns, zero-non-conformity PCI-DSS audits, and zero-scope-dispute government delivery through structured requirements governance. Native Arabic, fluent English, deep MENA market experience (Jordan, Saudi Arabia, Qatar, Lebanon, UAE-adjacent EMEA).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CORE COMPETENCIES</w:t>
      </w:r>
    </w:p>
    <w:tbl>
      <w:tblPr>
        <w:tblW w:w="9300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100" w:type="dxa"/>
        </w:tblCellMar>
      </w:tblPr>
      <w:tblGrid>
        <w:gridCol w:w="3100"/>
        <w:gridCol w:w="3100"/>
        <w:gridCol w:w="3100"/>
      </w:tblGrid>
      <w:tr>
        <w:trPr/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Enterprise Architecture (TOGAF)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Microservices &amp; RESTful API Design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Cloud &amp; Hybrid Architecture (Azure)</w:t>
            </w:r>
          </w:p>
        </w:tc>
      </w:tr>
      <w:tr>
        <w:trPr/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Engineering KPIs &amp; Delivery Governance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CI/CD &amp; DevOps Practices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Emerging Tech Evaluation (AI/ML, RAG)</w:t>
            </w:r>
          </w:p>
        </w:tc>
      </w:tr>
      <w:tr>
        <w:trPr/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Team Building &amp; Technical Mentoring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Agile / Scrum Delivery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Performance &amp; Accountability Systems</w:t>
            </w:r>
          </w:p>
        </w:tc>
      </w:tr>
      <w:tr>
        <w:trPr/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Executive &amp; C-Suite Stakeholder Engagement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Legacy System Modernization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Risk &amp; Issue Management</w:t>
            </w:r>
          </w:p>
        </w:tc>
      </w:tr>
      <w:tr>
        <w:trPr/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Vendor &amp; Contract Management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Business Process Re-engineering</w:t>
            </w:r>
          </w:p>
        </w:tc>
        <w:tc>
          <w:tcPr>
            <w:tcW w:w="3100" w:type="dxa"/>
            <w:tcBorders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8"/>
                <w:szCs w:val="18"/>
              </w:rPr>
              <w:t xml:space="preserve">•  </w:t>
            </w:r>
            <w:r>
              <w:rPr>
                <w:rFonts w:eastAsia="Calibri" w:cs="Calibri" w:ascii="Calibri" w:hAnsi="Calibri"/>
                <w:sz w:val="18"/>
                <w:szCs w:val="18"/>
              </w:rPr>
              <w:t>Governance &amp; Compliance (PDPL, NCA ECC, PCI-DSS)</w:t>
            </w:r>
          </w:p>
        </w:tc>
      </w:tr>
    </w:tbl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PROFICIENCY</w:t>
      </w:r>
    </w:p>
    <w:p>
      <w:pPr>
        <w:pStyle w:val="ListParagraph"/>
        <w:numPr>
          <w:ilvl w:val="0"/>
          <w:numId w:val="3"/>
        </w:numPr>
        <w:spacing w:before="0" w:after="2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Architecture &amp; Cloud:</w:t>
      </w:r>
      <w:r>
        <w:rPr>
          <w:rFonts w:eastAsia="Calibri" w:cs="Calibri" w:ascii="Calibri" w:hAnsi="Calibri"/>
          <w:sz w:val="19"/>
          <w:szCs w:val="19"/>
        </w:rPr>
        <w:t xml:space="preserve"> Microsoft Azure, cloud &amp; hybrid architectures, microservices, RESTful APIs, distributed systems, SQL Server (Always On), Redis high availability.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Engineering Practices:</w:t>
      </w:r>
      <w:r>
        <w:rPr>
          <w:rFonts w:eastAsia="Calibri" w:cs="Calibri" w:ascii="Calibri" w:hAnsi="Calibri"/>
          <w:sz w:val="19"/>
          <w:szCs w:val="19"/>
        </w:rPr>
        <w:t xml:space="preserve"> CI/CD, DevOps, code quality standards, technical debt management, design review practices, C# .NET Core.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Applied AI &amp; Emerging Tech Evaluation:</w:t>
      </w:r>
      <w:r>
        <w:rPr>
          <w:rFonts w:eastAsia="Calibri" w:cs="Calibri" w:ascii="Calibri" w:hAnsi="Calibri"/>
          <w:sz w:val="19"/>
          <w:szCs w:val="19"/>
        </w:rPr>
        <w:t xml:space="preserve"> Python (data science, applied AI), local LLM deployment, Retrieval-Augmented Generation (RAG), LangChain — hands-on evaluation of AI/ML capability for production use.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Delivery &amp; Governance Tooling:</w:t>
      </w:r>
      <w:r>
        <w:rPr>
          <w:rFonts w:eastAsia="Calibri" w:cs="Calibri" w:ascii="Calibri" w:hAnsi="Calibri"/>
          <w:sz w:val="19"/>
          <w:szCs w:val="19"/>
        </w:rPr>
        <w:t xml:space="preserve"> Jira, Microsoft Project, Confluence, Enterprise ERP data pipelines.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Technical Delivery Manager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ab/>
        <w:t>Feb 2025 – Present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EY, Amman, Jordan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Led end-to-end technical delivery for a new platform engagement for a newly established Saudi government entity, replacing entirely manual, email/spreadsheet-based operations with a purpose-built, multi-stakeholder digital platform.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Drove requirements engineering as a core delivery work-stream, running structured workshops three times weekly to map and validate complex business process workflows, translated into a comprehensive BRD covering process flows, epics, features, user stories, and UX wireframes.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Secured formal client sign-off on the BRD before development commenced, establishing a traceable requirements baseline — the project's most critical risk-mitigation milestone.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Governed Agile-Scrum delivery and technical decisions across a 5-person cross-functional engineering team, running 2-week sprint cycles with daily stand-ups and end-of-sprint client review sessions.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Governed full regulatory compliance for the platform, aligning architecture and controls with Saudi PDPL and NCA ECC standards to pass security readiness reviews prior to sign-off.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 xml:space="preserve">Achieved full client acceptance with </w:t>
      </w:r>
      <w:r>
        <w:rPr>
          <w:rFonts w:eastAsia="Calibri" w:cs="Calibri" w:ascii="Calibri" w:hAnsi="Calibri"/>
          <w:b/>
          <w:bCs/>
          <w:sz w:val="19"/>
          <w:szCs w:val="19"/>
        </w:rPr>
        <w:t>zero scope disputes</w:t>
      </w:r>
      <w:r>
        <w:rPr>
          <w:rFonts w:eastAsia="Calibri" w:cs="Calibri" w:ascii="Calibri" w:hAnsi="Calibri"/>
          <w:sz w:val="19"/>
          <w:szCs w:val="19"/>
        </w:rPr>
        <w:t>, a direct result of rigorous upfront requirements traceability and structured sprint-by-sprint technical validation.</w:t>
      </w:r>
    </w:p>
    <w:p>
      <w:pPr>
        <w:pStyle w:val="Normal"/>
        <w:tabs>
          <w:tab w:val="clear" w:pos="720"/>
          <w:tab w:val="right" w:pos="9360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Technical Delivery Manager / Team Lead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ab/>
        <w:t>2018 – 2024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MStart, Amman, Jordan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Personally architected and led a full backend rewrite of a high-traffic digital goods e-commerce platform spanning web, Android mobile, Android EVD machines, and a third-party reseller API network, replacing a legacy system that crashed under 15,000+ daily orders.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 xml:space="preserve">Delivered an </w:t>
      </w:r>
      <w:r>
        <w:rPr>
          <w:rFonts w:eastAsia="Calibri" w:cs="Calibri" w:ascii="Calibri" w:hAnsi="Calibri"/>
          <w:b/>
          <w:bCs/>
          <w:sz w:val="19"/>
          <w:szCs w:val="19"/>
        </w:rPr>
        <w:t>8x capacity increase</w:t>
      </w:r>
      <w:r>
        <w:rPr>
          <w:rFonts w:eastAsia="Calibri" w:cs="Calibri" w:ascii="Calibri" w:hAnsi="Calibri"/>
          <w:sz w:val="19"/>
          <w:szCs w:val="19"/>
        </w:rPr>
        <w:t xml:space="preserve"> through direct architectural redesign — new backend handled 120,000+ daily orders with latency dropping from 3s to sub-200ms — directly unlocking revenue growth.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Owned architecture, code quality, and technical decision-making across a 15-person cross-functional engineering team over a 6-year engagement, in addition to recruitment, resourcing, and daily Agile-Scrum operations, reporting directly to executive leadership.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Modernized a mission-critical B2B platform serving 7,000+ retailers and wholesalers, personally coordinating technical integration across 30 external vendor and payment platforms.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Redesigned production infrastructure for 99.9% uptime using SQL Server High Availability and a multi-layer caching architecture (SQL Server, Redis, Memcached), executing a zero-downtime database cut-over on a live environment.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Led ~50 production releases, moving from weekly to predictable monthly cycles with deployment checklists and rollback procedures — cutting deployment windows from ~2 hours to 30–60 minutes and reducing production incidents.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Designed a database archiving strategy that reduced the operational database from ~1.6TB to 600GB, and introduced a dedicated read-only reporting database to remove reporting load from production during peak hours.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Recruited and hired 4 engineers from ~20 candidates, mentored junior developers, and established coding standards and structured, criteria-based performance evaluations.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 xml:space="preserve">Maintained continuous PCI-DSS compliance across a multi-channel payment architecture handling 120,000+ daily orders, managing annual third-party security audits with </w:t>
      </w:r>
      <w:r>
        <w:rPr>
          <w:rFonts w:eastAsia="Calibri" w:cs="Calibri" w:ascii="Calibri" w:hAnsi="Calibri"/>
          <w:b/>
          <w:bCs/>
          <w:sz w:val="19"/>
          <w:szCs w:val="19"/>
        </w:rPr>
        <w:t>zero major non-conformities</w:t>
      </w:r>
      <w:r>
        <w:rPr>
          <w:rFonts w:eastAsia="Calibri" w:cs="Calibri" w:ascii="Calibri" w:hAnsi="Calibri"/>
          <w:sz w:val="19"/>
          <w:szCs w:val="19"/>
        </w:rPr>
        <w:t>.</w:t>
      </w:r>
    </w:p>
    <w:p>
      <w:pPr>
        <w:pStyle w:val="Normal"/>
        <w:tabs>
          <w:tab w:val="clear" w:pos="720"/>
          <w:tab w:val="right" w:pos="9360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Co-Founder &amp; Delivery Lead (CTO)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ab/>
        <w:t>2017 – 2018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Kafou Services, Jordan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Co-founded and led technical strategy and full-stack product delivery for a two-sided mobile marketplace connecting end-users with local service providers.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Personally designed and developed backend services, web administration portals, and mobile application APIs, integrating payment processing, geolocation, and messaging services.</w:t>
      </w:r>
    </w:p>
    <w:p>
      <w:pPr>
        <w:pStyle w:val="Normal"/>
        <w:tabs>
          <w:tab w:val="clear" w:pos="720"/>
          <w:tab w:val="right" w:pos="9360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ERP Systems &amp; Financial Data Governance Specialist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ab/>
        <w:t>2013 – 2017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Mahmoud Saleh Abbar, Jeddah, Saudi Arabia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Recruited directly by the CFO to resolve a critical financial data integrity crisis after years of accumulated ERP errors had rendered core financial outputs unreliable.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Conducted a forensic audit of the ERP database, reconciling millions of records against physical archives across multiple fiscal years until each period produced accurate, trustworthy figures.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Designed and delivered complex custom financial reports for C-suite consumption that the ERP could not produce natively.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Sustained data quality and ERP integrity over a 4-year engagement, establishing processes to prevent recurrence.</w:t>
      </w:r>
    </w:p>
    <w:p>
      <w:pPr>
        <w:pStyle w:val="Normal"/>
        <w:tabs>
          <w:tab w:val="clear" w:pos="720"/>
          <w:tab w:val="right" w:pos="9360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Product Delivery Manager &amp; Lead Enterprise Architect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ab/>
        <w:t>2005 – 2013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Grant Thornton, Saudi Arabia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Served as sole Architect and Lead Developer, transforming a legacy single-user Access application into a scalable, multilingual, multi-tenant Operational Risk Management (ORM) web platform that became a key regional business offering.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Independently designed and engineered a highly secure, multilingual ASP.NET enterprise platform tailored for regulated financial environments — full ownership of architecture, security model, and technology decisions for 8 years.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 xml:space="preserve">Drove commercial growth as Product Owner, expanding client acquisition from 5 to </w:t>
      </w:r>
      <w:r>
        <w:rPr>
          <w:rFonts w:eastAsia="Calibri" w:cs="Calibri" w:ascii="Calibri" w:hAnsi="Calibri"/>
          <w:b/>
          <w:bCs/>
          <w:sz w:val="19"/>
          <w:szCs w:val="19"/>
        </w:rPr>
        <w:t>40+ premier banks and insurance companies</w:t>
      </w:r>
      <w:r>
        <w:rPr>
          <w:rFonts w:eastAsia="Calibri" w:cs="Calibri" w:ascii="Calibri" w:hAnsi="Calibri"/>
          <w:sz w:val="19"/>
          <w:szCs w:val="19"/>
        </w:rPr>
        <w:t xml:space="preserve"> across EMEA.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Defined product roadmap, UX, technical architecture, reporting framework, and multilingual capabilities end-to-end.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Delivered customer implementations and training across Saudi Arabia, Jordan, Qatar, Lebanon, India, and the UK, collaborating with Grant Thornton SA and CGC UK leadership.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Established long-term C-level client relationships through direct architecture guidance and Tier-3 support over an eight-year engagement.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Bachelor's Degree in Business Administration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Applied Science University, Amman, Jordan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CERTIFICATIONS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Project Management Professional (PMP®) | Project Management Institute (PMI) — March 2026 – March 2029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TOGAF Foundation (Level 1) — In Progress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Microsoft Certified: Azure Fundamentals (AZ-900) | Microsoft — November 2025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EY Applied AI – Bronze Learning | EY — March 2025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Building Business Acumen | EY — March 2026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Developing Client Relationships | EY — March 2026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Applied Data Science with Python – Level 2 | IBM — 2017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Python for Data Science | IBM — 2017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Advanced Certified Operational Risk Executive (CORE2) | Grant Thornton — 2010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 w:ascii="Calibri" w:hAnsi="Calibri"/>
          <w:sz w:val="19"/>
          <w:szCs w:val="19"/>
        </w:rPr>
        <w:t>Certified Operational Risk Executive (CORE) | Grant Thornton — April 2007</w:t>
      </w:r>
    </w:p>
    <w:p>
      <w:pPr>
        <w:pStyle w:val="Normal"/>
        <w:pBdr>
          <w:bottom w:val="single" w:sz="6" w:space="2" w:color="1F3864"/>
        </w:pBdr>
        <w:spacing w:before="120" w:after="6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LANGUAGES</w:t>
      </w:r>
    </w:p>
    <w:p>
      <w:pPr>
        <w:pStyle w:val="Normal"/>
        <w:spacing w:before="0" w:after="0"/>
        <w:rPr/>
      </w:pPr>
      <w:r>
        <w:rPr>
          <w:rFonts w:eastAsia="Calibri" w:cs="Calibri" w:ascii="Calibri" w:hAnsi="Calibri"/>
          <w:sz w:val="19"/>
          <w:szCs w:val="19"/>
        </w:rPr>
        <w:t>Arabic: Native   ∙   English: Fluent (Professional Working Proficiency)   ∙   French: Intermediate</w:t>
      </w:r>
    </w:p>
    <w:sectPr>
      <w:type w:val="nextPage"/>
      <w:pgSz w:w="12240" w:h="15840"/>
      <w:pgMar w:left="620" w:right="620" w:gutter="0" w:header="0" w:top="480" w:footer="0" w:bottom="4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Tahoma"/>
        <w:lang w:val="en-US" w:eastAsia="zh-CN" w:bidi="ar-JO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b/>
      <w:bCs/>
      <w:color w:val="auto"/>
      <w:kern w:val="0"/>
      <w:sz w:val="20"/>
      <w:szCs w:val="20"/>
      <w:lang w:val="en-US" w:eastAsia="zh-CN" w:bidi="ar-JO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LibreOffice/25.8.7.3$Windows_X86_64 LibreOffice_project/30742500f2d3eb4366ac312fa33d3dcabdb3eba5</Application>
  <AppVersion>15.0000</AppVersion>
  <Pages>2</Pages>
  <Words>1188</Words>
  <Characters>7686</Characters>
  <CharactersWithSpaces>8820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2026-07-27T17:59:10Z</dcterms:created>
  <dc:creator>Un-named</dc:creator>
  <dc:description/>
  <dc:language>en-US</dc:language>
  <cp:lastModifiedBy/>
  <dcterms:modified xsi:type="dcterms:W3CDTF">2026-07-27T21:04:19Z</dcterms:modified>
  <cp:revision>2</cp:revision>
  <dc:subject/>
  <dc:title/>
</cp:coreProperties>
</file>