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rPr>
          <w:b/>
          <w:bCs/>
          <w:sz w:val="32"/>
          <w:szCs w:val="32"/>
          <w:lang w:val="en-AU"/>
        </w:rPr>
      </w:pPr>
      <w:r>
        <w:rPr>
          <w:b/>
          <w:bCs/>
          <w:sz w:val="32"/>
          <w:szCs w:val="32"/>
          <w:lang w:val="en-AU"/>
        </w:rPr>
        <w:t xml:space="preserve">Calibrate, Adapt, or Block? A Certified Deployment Gate for Imported Sepsis Early-Warning Models</w:t>
      </w:r>
    </w:p>
    <w:p>
      <w:pPr>
        <w:spacing w:after="120"/>
        <w:jc w:val="center"/>
        <w:rPr>
          <w:sz w:val="24"/>
          <w:szCs w:val="24"/>
          <w:lang w:val="en-AU"/>
        </w:rPr>
      </w:pPr>
      <w:r>
        <w:rPr>
          <w:i/>
          <w:iCs/>
          <w:sz w:val="24"/>
          <w:szCs w:val="24"/>
          <w:lang w:val="en-AU"/>
        </w:rPr>
        <w:t xml:space="preserve">Amlan Sarkar¹</w:t>
      </w:r>
      <w:r>
        <w:rPr>
          <w:sz w:val="24"/>
          <w:szCs w:val="24"/>
          <w:lang w:val="en-AU"/>
        </w:rPr>
        <w:t xml:space="preserve">*</w:t>
      </w:r>
      <w:r>
        <w:rPr>
          <w:i/>
          <w:iCs/>
          <w:sz w:val="24"/>
          <w:szCs w:val="24"/>
          <w:lang w:val="en-AU"/>
        </w:rPr>
        <w:t xml:space="preserve"> and Md Tobibul Islam¹</w:t>
      </w:r>
    </w:p>
    <w:p>
      <w:pPr>
        <w:spacing w:after="120"/>
        <w:jc w:val="center"/>
        <w:rPr>
          <w:sz w:val="24"/>
          <w:szCs w:val="24"/>
          <w:lang w:val="en-AU"/>
        </w:rPr>
      </w:pPr>
      <w:r>
        <w:rPr>
          <w:sz w:val="24"/>
          <w:szCs w:val="24"/>
          <w:lang w:val="en-AU"/>
        </w:rPr>
        <w:t xml:space="preserve">¹ Department of Biomedical Engineering, Military Institute of Science and Technology (MIST), Dhaka, Bangladesh</w:t>
      </w:r>
    </w:p>
    <w:p>
      <w:pPr>
        <w:spacing w:after="120"/>
        <w:jc w:val="center"/>
        <w:rPr>
          <w:sz w:val="24"/>
          <w:szCs w:val="24"/>
          <w:lang w:val="en-AU"/>
        </w:rPr>
      </w:pPr>
      <w:hyperlink r:id="rId4" w:history="1">
        <w:r>
          <w:rPr>
            <w:rStyle w:val="Hyperlink"/>
            <w:sz w:val="24"/>
            <w:szCs w:val="24"/>
            <w:lang w:val="en-AU"/>
          </w:rPr>
          <w:t>amlansarkar738@gmail.com</w:t>
        </w:r>
      </w:hyperlink>
      <w:r>
        <w:rPr>
          <w:sz w:val="24"/>
          <w:szCs w:val="24"/>
          <w:lang w:val="en-AU"/>
        </w:rPr>
        <w:t xml:space="preserve">, </w:t>
      </w:r>
      <w:hyperlink r:id="rId5" w:history="1">
        <w:r>
          <w:rPr>
            <w:rStyle w:val="Hyperlink"/>
            <w:sz w:val="24"/>
            <w:szCs w:val="24"/>
            <w:lang w:val="en-AU"/>
          </w:rPr>
          <w:t>tobibul.islam@bme.mist.ac.bd</w:t>
        </w:r>
      </w:hyperlink>
    </w:p>
    <w:p>
      <w:pPr>
        <w:spacing w:after="120"/>
        <w:jc w:val="both"/>
        <w:rPr>
          <w:b/>
          <w:bCs/>
          <w:sz w:val="24"/>
          <w:szCs w:val="24"/>
          <w:lang w:val="en-AU"/>
        </w:rPr>
      </w:pPr>
    </w:p>
    <w:p>
      <w:pPr>
        <w:spacing w:after="120"/>
        <w:jc w:val="both"/>
        <w:rPr>
          <w:b/>
          <w:bCs/>
          <w:sz w:val="24"/>
          <w:szCs w:val="24"/>
          <w:lang w:val="en-AU"/>
        </w:rPr>
      </w:pPr>
      <w:r>
        <w:rPr>
          <w:b/>
          <w:bCs/>
          <w:sz w:val="24"/>
          <w:szCs w:val="24"/>
          <w:lang w:val="en-AU"/>
        </w:rPr>
        <w:t xml:space="preserve">Abstract</w:t>
      </w:r>
    </w:p>
    <w:p>
      <w:pPr>
        <w:spacing w:after="120"/>
        <w:jc w:val="both"/>
        <w:rPr>
          <w:sz w:val="24"/>
          <w:szCs w:val="24"/>
          <w:lang w:val="en-AU"/>
        </w:rPr>
      </w:pPr>
      <w:r>
        <w:rPr>
          <w:b/>
          <w:bCs/>
          <w:sz w:val="24"/>
          <w:szCs w:val="24"/>
          <w:lang w:val="en-AU"/>
        </w:rPr>
        <w:t xml:space="preserve">Background:</w:t>
      </w:r>
      <w:r>
        <w:rPr>
          <w:sz w:val="24"/>
          <w:szCs w:val="24"/>
          <w:lang w:val="en-AU"/>
        </w:rPr>
        <w:t xml:space="preserve"> Hospitals increasingly deploy clinical prediction models developed elsewhere, yet performance often degrades after transfer, and receiving hospitals lack a principled way to decide whether to recalibrate, adapt or abandon an imported model.</w:t>
      </w:r>
      <w:r>
        <w:rPr>
          <w:sz w:val="24"/>
          <w:szCs w:val="24"/>
          <w:lang w:val="en-AU"/>
        </w:rPr>
        <w:t xml:space="preserve"> </w:t>
      </w:r>
      <w:r>
        <w:rPr>
          <w:b/>
          <w:bCs/>
          <w:sz w:val="24"/>
          <w:szCs w:val="24"/>
          <w:lang w:val="en-AU"/>
        </w:rPr>
        <w:t xml:space="preserve">Objective:</w:t>
      </w:r>
      <w:r>
        <w:rPr>
          <w:sz w:val="24"/>
          <w:szCs w:val="24"/>
          <w:lang w:val="en-AU"/>
        </w:rPr>
        <w:t xml:space="preserve"> This research aims to develop a deployment gate that uses a small number of locally labelled patients to choose the least invasive safe option for an imported sepsis early-warning model, while bounding the risk of activating an unsafe model.</w:t>
      </w:r>
      <w:r>
        <w:rPr>
          <w:sz w:val="24"/>
          <w:szCs w:val="24"/>
          <w:lang w:val="en-AU"/>
        </w:rPr>
        <w:t xml:space="preserve"> </w:t>
      </w:r>
      <w:r>
        <w:rPr>
          <w:b/>
          <w:bCs/>
          <w:sz w:val="24"/>
          <w:szCs w:val="24"/>
          <w:lang w:val="en-AU"/>
        </w:rPr>
        <w:t xml:space="preserve">Methodology:</w:t>
      </w:r>
      <w:r>
        <w:rPr>
          <w:sz w:val="24"/>
          <w:szCs w:val="24"/>
          <w:lang w:val="en-AU"/>
        </w:rPr>
        <w:t xml:space="preserve"> Using open data on 40,336 intensive care patients from two US hospitals (PhysioNet/CinC Challenge 2019), gradient-boosted sepsis models were imported between hospitals and into individual units (six scenarios). The proposed procedure, CAB (Calibrate, Adapt or Block), tests keeping, recalibrating and adapting the model in order of cost, activates an option only when exact binomial tests certify patient-level sensitivity and false-alert rate, and otherwise blocks it. CAB was compared with direct deployment, recalibration, fine-tuning, retraining and classical statistical updating across 250 to 12,000 labelled patients (100 repetitions per setting), and implemented in a prototype deployment and ward-monitoring application.</w:t>
      </w:r>
      <w:r>
        <w:rPr>
          <w:sz w:val="24"/>
          <w:szCs w:val="24"/>
          <w:lang w:val="en-AU"/>
        </w:rPr>
        <w:t xml:space="preserve"> </w:t>
      </w:r>
      <w:r>
        <w:rPr>
          <w:b/>
          <w:bCs/>
          <w:sz w:val="24"/>
          <w:szCs w:val="24"/>
          <w:lang w:val="en-AU"/>
        </w:rPr>
        <w:t xml:space="preserve">Results:</w:t>
      </w:r>
      <w:r>
        <w:rPr>
          <w:sz w:val="24"/>
          <w:szCs w:val="24"/>
          <w:lang w:val="en-AU"/>
        </w:rPr>
        <w:t xml:space="preserve"> Imported models failed differently by direction, detecting 63% of septic patients against an 80% target or doubling false alerts. Conventional and classical remedies activated unsafe models in 77–100% of runs, often while appearing safe on local data; CAB did so in under 1%. CAB blocked unrepairable models from 250 labelled patients and certified the adapted model in 97% of runs at 12,000 patients (about 690 septic cases), and a closed-form calculator predicted label requirements to within 20%.</w:t>
      </w:r>
      <w:r>
        <w:rPr>
          <w:sz w:val="24"/>
          <w:szCs w:val="24"/>
          <w:lang w:val="en-AU"/>
        </w:rPr>
        <w:t xml:space="preserve"> </w:t>
      </w:r>
      <w:r>
        <w:rPr>
          <w:b/>
          <w:bCs/>
          <w:sz w:val="24"/>
          <w:szCs w:val="24"/>
          <w:lang w:val="en-AU"/>
        </w:rPr>
        <w:t xml:space="preserve">Conclusion:</w:t>
      </w:r>
      <w:r>
        <w:rPr>
          <w:sz w:val="24"/>
          <w:szCs w:val="24"/>
          <w:lang w:val="en-AU"/>
        </w:rPr>
        <w:t xml:space="preserve"> The research demonstrates a practical, certified deployment gate for imported clinical AI. Because typical local validation samples are too small, blocking should be a planned outcome and label collection should be planned before deployment.</w:t>
      </w:r>
    </w:p>
    <w:p>
      <w:pPr>
        <w:spacing w:after="120"/>
        <w:jc w:val="both"/>
        <w:rPr>
          <w:sz w:val="24"/>
          <w:szCs w:val="24"/>
          <w:lang w:val="en-AU"/>
        </w:rPr>
      </w:pPr>
    </w:p>
    <w:p>
      <w:pPr>
        <w:spacing w:after="120"/>
        <w:jc w:val="both"/>
        <w:rPr>
          <w:sz w:val="24"/>
          <w:szCs w:val="24"/>
          <w:lang w:val="en-AU"/>
        </w:rPr>
      </w:pPr>
      <w:r>
        <w:rPr>
          <w:b/>
          <w:bCs/>
          <w:sz w:val="24"/>
          <w:szCs w:val="24"/>
          <w:lang w:val="en-AU"/>
        </w:rPr>
        <w:t xml:space="preserve">Keywords:</w:t>
      </w:r>
      <w:r>
        <w:rPr>
          <w:sz w:val="24"/>
          <w:szCs w:val="24"/>
          <w:lang w:val="en-AU"/>
        </w:rPr>
        <w:t xml:space="preserve"> Sepsis Early Warning; Clinical Decision Support; Dataset Shift; Model Updating; Local Validation; Certified Safety; Health Informatics.</w:t>
      </w:r>
    </w:p>
    <w:sectPr w:rsidR="005C1FC3" w:rsidRPr="00591654" w:rsidSect="002B38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D4F"/>
    <w:rsid w:val="00024787"/>
    <w:rsid w:val="001D6D4F"/>
    <w:rsid w:val="002B3843"/>
    <w:rsid w:val="002D33F2"/>
    <w:rsid w:val="002F289B"/>
    <w:rsid w:val="00300C26"/>
    <w:rsid w:val="003B0AAF"/>
    <w:rsid w:val="00591654"/>
    <w:rsid w:val="005A7986"/>
    <w:rsid w:val="005C1FC3"/>
    <w:rsid w:val="006954B4"/>
    <w:rsid w:val="008D6CB9"/>
    <w:rsid w:val="00942BCE"/>
    <w:rsid w:val="0095355F"/>
    <w:rsid w:val="00D0216D"/>
    <w:rsid w:val="00FB5C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27223"/>
  <w15:chartTrackingRefBased/>
  <w15:docId w15:val="{6FA6F2A3-2CF1-6345-A188-2B489965D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D4F"/>
    <w:pPr>
      <w:autoSpaceDE w:val="0"/>
      <w:autoSpaceDN w:val="0"/>
      <w:spacing w:line="240" w:lineRule="auto"/>
    </w:pPr>
    <w:rPr>
      <w:rFonts w:ascii="Times New Roman" w:eastAsia="PMingLiU" w:hAnsi="Times New Roman" w:cs="Times New Roman"/>
      <w:kern w:val="0"/>
      <w:sz w:val="20"/>
      <w:szCs w:val="20"/>
      <w14:ligatures w14:val="none"/>
    </w:rPr>
  </w:style>
  <w:style w:type="paragraph" w:styleId="Heading1">
    <w:name w:val="heading 1"/>
    <w:basedOn w:val="Normal"/>
    <w:next w:val="Normal"/>
    <w:link w:val="Heading1Char"/>
    <w:uiPriority w:val="9"/>
    <w:qFormat/>
    <w:rsid w:val="001D6D4F"/>
    <w:pPr>
      <w:keepNext/>
      <w:keepLines/>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D6D4F"/>
    <w:pPr>
      <w:keepNext/>
      <w:keepLines/>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D6D4F"/>
    <w:pPr>
      <w:keepNext/>
      <w:keepLines/>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D6D4F"/>
    <w:pPr>
      <w:keepNext/>
      <w:keepLines/>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D6D4F"/>
    <w:pPr>
      <w:keepNext/>
      <w:keepLines/>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1D6D4F"/>
    <w:pPr>
      <w:keepNext/>
      <w:keepLines/>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1D6D4F"/>
    <w:pPr>
      <w:keepNext/>
      <w:keepLines/>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1D6D4F"/>
    <w:pPr>
      <w:keepNext/>
      <w:keepLines/>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1D6D4F"/>
    <w:pPr>
      <w:keepNext/>
      <w:keepLines/>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D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D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D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D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D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D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D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D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D4F"/>
    <w:rPr>
      <w:rFonts w:eastAsiaTheme="majorEastAsia" w:cstheme="majorBidi"/>
      <w:color w:val="272727" w:themeColor="text1" w:themeTint="D8"/>
    </w:rPr>
  </w:style>
  <w:style w:type="paragraph" w:styleId="Title">
    <w:name w:val="Title"/>
    <w:basedOn w:val="Normal"/>
    <w:next w:val="Normal"/>
    <w:link w:val="TitleChar"/>
    <w:qFormat/>
    <w:rsid w:val="001D6D4F"/>
    <w:pPr>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D6D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D4F"/>
    <w:pPr>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D6D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D4F"/>
    <w:pPr>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1D6D4F"/>
    <w:rPr>
      <w:i/>
      <w:iCs/>
      <w:color w:val="404040" w:themeColor="text1" w:themeTint="BF"/>
    </w:rPr>
  </w:style>
  <w:style w:type="paragraph" w:styleId="ListParagraph">
    <w:name w:val="List Paragraph"/>
    <w:basedOn w:val="Normal"/>
    <w:uiPriority w:val="34"/>
    <w:qFormat/>
    <w:rsid w:val="001D6D4F"/>
    <w:pPr>
      <w:autoSpaceDE/>
      <w:autoSpaceDN/>
      <w:spacing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1D6D4F"/>
    <w:rPr>
      <w:i/>
      <w:iCs/>
      <w:color w:val="0F4761" w:themeColor="accent1" w:themeShade="BF"/>
    </w:rPr>
  </w:style>
  <w:style w:type="paragraph" w:styleId="IntenseQuote">
    <w:name w:val="Intense Quote"/>
    <w:basedOn w:val="Normal"/>
    <w:next w:val="Normal"/>
    <w:link w:val="IntenseQuoteChar"/>
    <w:uiPriority w:val="30"/>
    <w:qFormat/>
    <w:rsid w:val="001D6D4F"/>
    <w:pPr>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1D6D4F"/>
    <w:rPr>
      <w:i/>
      <w:iCs/>
      <w:color w:val="0F4761" w:themeColor="accent1" w:themeShade="BF"/>
    </w:rPr>
  </w:style>
  <w:style w:type="character" w:styleId="IntenseReference">
    <w:name w:val="Intense Reference"/>
    <w:basedOn w:val="DefaultParagraphFont"/>
    <w:uiPriority w:val="32"/>
    <w:qFormat/>
    <w:rsid w:val="001D6D4F"/>
    <w:rPr>
      <w:b/>
      <w:bCs/>
      <w:smallCaps/>
      <w:color w:val="0F4761" w:themeColor="accent1" w:themeShade="BF"/>
      <w:spacing w:val="5"/>
    </w:rPr>
  </w:style>
  <w:style w:type="character" w:styleId="Hyperlink">
    <w:name w:val="Hyperlink"/>
    <w:basedOn w:val="DefaultParagraphFont"/>
    <w:rsid w:val="001D6D4F"/>
    <w:rPr>
      <w:color w:val="0000FF"/>
      <w:u w:val="single"/>
    </w:rPr>
  </w:style>
  <w:style w:type="character" w:customStyle="1" w:styleId="lg">
    <w:name w:val="lg"/>
    <w:basedOn w:val="DefaultParagraphFont"/>
    <w:rsid w:val="001D6D4F"/>
  </w:style>
  <w:style w:type="character" w:customStyle="1" w:styleId="ppt">
    <w:name w:val="ppt"/>
    <w:basedOn w:val="DefaultParagraphFont"/>
    <w:rsid w:val="001D6D4F"/>
  </w:style>
  <w:style w:type="paragraph" w:customStyle="1" w:styleId="IndexTerms">
    <w:name w:val="IndexTerms"/>
    <w:basedOn w:val="Normal"/>
    <w:next w:val="Normal"/>
    <w:rsid w:val="005C1FC3"/>
    <w:pPr>
      <w:ind w:firstLine="202"/>
      <w:jc w:val="both"/>
    </w:pPr>
    <w:rPr>
      <w:b/>
      <w:bCs/>
      <w:sz w:val="18"/>
      <w:szCs w:val="18"/>
    </w:rPr>
  </w:style>
  <w:style w:type="character" w:styleId="UnresolvedMention">
    <w:name w:val="Unresolved Mention"/>
    <w:basedOn w:val="DefaultParagraphFont"/>
    <w:uiPriority w:val="99"/>
    <w:semiHidden/>
    <w:unhideWhenUsed/>
    <w:rsid w:val="005916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obibul.islam@bme.mist.ac.bd" TargetMode="External"/><Relationship Id="rId4" Type="http://schemas.openxmlformats.org/officeDocument/2006/relationships/hyperlink" Target="mailto:amlansarkar73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361</Words>
  <Characters>2064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2026-10-03T07:09:00Z</dcterms:created>
  <dcterms:modified xsi:type="dcterms:W3CDTF">2026-10-04T08:02:00Z</dcterms:modified>
</cp:coreProperties>
</file>