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eastAsia="Calibri" w:hAnsi="Calibri"/>
          <w:b/>
          <w:bCs/>
          <w:color w:val="0F5C57"/>
          <w:sz w:val="17"/>
          <w:szCs w:val="17"/>
        </w:rPr>
        <w:t xml:space="preserve">REQUEST FOR WRITTEN LEGAL ADVICE</w:t>
      </w:r>
    </w:p>
    <w:p>
      <w:pPr>
        <w:spacing w:after="200" w:before="0" w:line="276"/>
      </w:pPr>
      <w:r>
        <w:rPr>
          <w:rFonts w:ascii="Calibri" w:cs="Calibri" w:eastAsia="Calibri" w:hAnsi="Calibri"/>
          <w:b/>
          <w:bCs/>
          <w:color w:val="1B211F"/>
          <w:sz w:val="32"/>
          <w:szCs w:val="32"/>
        </w:rPr>
        <w:t xml:space="preserve">Data protection, consent, records retention and electronic prescriptions</w:t>
      </w:r>
    </w:p>
    <w:p>
      <w:pPr>
        <w:spacing w:after="40" w:before="0" w:line="276"/>
      </w:pPr>
      <w:r>
        <w:rPr>
          <w:rFonts w:ascii="Calibri" w:cs="Calibri" w:eastAsia="Calibri" w:hAnsi="Calibri"/>
          <w:color w:val="5E6A66"/>
          <w:sz w:val="21"/>
          <w:szCs w:val="21"/>
        </w:rPr>
        <w:t xml:space="preserve">From: </w:t>
      </w:r>
      <w:r>
        <w:rPr>
          <w:rFonts w:ascii="Calibri" w:cs="Calibri" w:eastAsia="Calibri" w:hAnsi="Calibri"/>
          <w:color w:val="1B211F"/>
          <w:sz w:val="21"/>
          <w:szCs w:val="21"/>
        </w:rPr>
        <w:t xml:space="preserve">Dr. K. M. Nahid-Ul-Haque, Diabetes, Thyroid &amp; Hormone Care (DTHC), Faridpur</w:t>
      </w:r>
    </w:p>
    <w:p>
      <w:pPr>
        <w:spacing w:after="40" w:before="0" w:line="276"/>
      </w:pPr>
      <w:r>
        <w:rPr>
          <w:rFonts w:ascii="Calibri" w:cs="Calibri" w:eastAsia="Calibri" w:hAnsi="Calibri"/>
          <w:color w:val="5E6A66"/>
          <w:sz w:val="21"/>
          <w:szCs w:val="21"/>
        </w:rPr>
        <w:t xml:space="preserve">Date: </w:t>
      </w:r>
      <w:r>
        <w:rPr>
          <w:rFonts w:ascii="Calibri" w:cs="Calibri" w:eastAsia="Calibri" w:hAnsi="Calibri"/>
          <w:color w:val="1B211F"/>
          <w:sz w:val="21"/>
          <w:szCs w:val="21"/>
        </w:rPr>
        <w:t xml:space="preserve">1 September 2026</w:t>
      </w:r>
    </w:p>
    <w:p>
      <w:pPr>
        <w:spacing w:after="220" w:before="0" w:line="276"/>
      </w:pPr>
      <w:r>
        <w:rPr>
          <w:rFonts w:ascii="Calibri" w:cs="Calibri" w:eastAsia="Calibri" w:hAnsi="Calibri"/>
          <w:color w:val="5E6A66"/>
          <w:sz w:val="21"/>
          <w:szCs w:val="21"/>
        </w:rPr>
        <w:t xml:space="preserve">Requested by: </w:t>
      </w:r>
      <w:r>
        <w:rPr>
          <w:rFonts w:ascii="Calibri" w:cs="Calibri" w:eastAsia="Calibri" w:hAnsi="Calibri"/>
          <w:color w:val="1B211F"/>
          <w:sz w:val="21"/>
          <w:szCs w:val="21"/>
        </w:rPr>
        <w:t xml:space="preserve">8 September 2026</w:t>
      </w:r>
    </w:p>
    <w:p>
      <w:pPr>
        <w:spacing w:after="240" w:before="0" w:line="276"/>
      </w:pPr>
      <w:r>
        <w:rPr>
          <w:rFonts w:ascii="Calibri" w:cs="Calibri" w:eastAsia="Calibri" w:hAnsi="Calibri"/>
          <w:i/>
          <w:iCs/>
          <w:color w:val="5E6A66"/>
          <w:sz w:val="21"/>
          <w:szCs w:val="21"/>
        </w:rPr>
        <w:t xml:space="preserve">This is a request for written advice. It is not itself advice — no one on the technical side of this project is qualified to answer any of the questions below, which is why they are being asked rather than assumed.</w:t>
      </w:r>
    </w:p>
    <w:p>
      <w:pPr>
        <w:pStyle w:val="Heading1"/>
        <w:spacing w:after="160" w:before="340"/>
      </w:pPr>
      <w:r>
        <w:rPr>
          <w:rFonts w:ascii="Calibri" w:cs="Calibri" w:eastAsia="Calibri" w:hAnsi="Calibri"/>
          <w:b/>
          <w:bCs/>
          <w:color w:val="0F5C57"/>
          <w:sz w:val="26"/>
          <w:szCs w:val="26"/>
        </w:rPr>
        <w:t xml:space="preserve">1.  What is being built, and where it stands</w:t>
      </w:r>
    </w:p>
    <w:p>
      <w:pPr>
        <w:spacing w:after="140" w:before="0" w:line="276"/>
      </w:pPr>
      <w:r>
        <w:rPr>
          <w:rFonts w:ascii="Calibri" w:cs="Calibri" w:eastAsia="Calibri" w:hAnsi="Calibri"/>
          <w:color w:val="1B211F"/>
          <w:sz w:val="21"/>
          <w:szCs w:val="21"/>
        </w:rPr>
        <w:t xml:space="preserve">DTHC is a specialist endocrine outpatient clinic. We are building a clinic management system that will hold, for each patient:</w:t>
      </w:r>
    </w:p>
    <w:p>
      <w:pPr>
        <w:pStyle w:val="ListParagraph"/>
        <w:numPr>
          <w:ilvl w:val="0"/>
          <w:numId w:val="1"/>
        </w:numPr>
        <w:spacing w:after="90" w:line="276"/>
      </w:pPr>
      <w:r>
        <w:rPr>
          <w:rFonts w:ascii="Calibri" w:cs="Calibri" w:eastAsia="Calibri" w:hAnsi="Calibri"/>
          <w:color w:val="1B211F"/>
          <w:sz w:val="21"/>
          <w:szCs w:val="21"/>
        </w:rPr>
        <w:t xml:space="preserve">identity and demographic data, including photographs of National ID (NID) cards</w:t>
      </w:r>
    </w:p>
    <w:p>
      <w:pPr>
        <w:pStyle w:val="ListParagraph"/>
        <w:numPr>
          <w:ilvl w:val="0"/>
          <w:numId w:val="1"/>
        </w:numPr>
        <w:spacing w:after="90" w:line="276"/>
      </w:pPr>
      <w:r>
        <w:rPr>
          <w:rFonts w:ascii="Calibri" w:cs="Calibri" w:eastAsia="Calibri" w:hAnsi="Calibri"/>
          <w:color w:val="1B211F"/>
          <w:sz w:val="21"/>
          <w:szCs w:val="21"/>
        </w:rPr>
        <w:t xml:space="preserve">clinical observations — vital signs, anthropometry, laboratory results</w:t>
      </w:r>
    </w:p>
    <w:p>
      <w:pPr>
        <w:pStyle w:val="ListParagraph"/>
        <w:numPr>
          <w:ilvl w:val="0"/>
          <w:numId w:val="1"/>
        </w:numPr>
        <w:spacing w:after="90" w:line="276"/>
      </w:pPr>
      <w:r>
        <w:rPr>
          <w:rFonts w:ascii="Calibri" w:cs="Calibri" w:eastAsia="Calibri" w:hAnsi="Calibri"/>
          <w:color w:val="1B211F"/>
          <w:sz w:val="21"/>
          <w:szCs w:val="21"/>
        </w:rPr>
        <w:t xml:space="preserve">diagnoses, prescriptions and dispensing records</w:t>
      </w:r>
    </w:p>
    <w:p>
      <w:pPr>
        <w:pStyle w:val="ListParagraph"/>
        <w:numPr>
          <w:ilvl w:val="0"/>
          <w:numId w:val="1"/>
        </w:numPr>
        <w:spacing w:after="90" w:line="276"/>
      </w:pPr>
      <w:r>
        <w:rPr>
          <w:rFonts w:ascii="Calibri" w:cs="Calibri" w:eastAsia="Calibri" w:hAnsi="Calibri"/>
          <w:color w:val="1B211F"/>
          <w:sz w:val="21"/>
          <w:szCs w:val="21"/>
        </w:rPr>
        <w:t xml:space="preserve">counselling and lifestyle records</w:t>
      </w:r>
    </w:p>
    <w:p>
      <w:pPr>
        <w:pStyle w:val="ListParagraph"/>
        <w:numPr>
          <w:ilvl w:val="0"/>
          <w:numId w:val="1"/>
        </w:numPr>
        <w:spacing w:after="90" w:line="276"/>
      </w:pPr>
      <w:r>
        <w:rPr>
          <w:rFonts w:ascii="Calibri" w:cs="Calibri" w:eastAsia="Calibri" w:hAnsi="Calibri"/>
          <w:color w:val="1B211F"/>
          <w:sz w:val="21"/>
          <w:szCs w:val="21"/>
        </w:rPr>
        <w:t xml:space="preserve">optionally, and under separate consent, de-identified data used for clinical research</w:t>
      </w:r>
    </w:p>
    <w:p>
      <w:pPr>
        <w:spacing w:after="140" w:before="120" w:line="276"/>
      </w:pPr>
      <w:r>
        <w:rPr>
          <w:rFonts w:ascii="Calibri" w:cs="Calibri" w:eastAsia="Calibri" w:hAnsi="Calibri"/>
          <w:b/>
          <w:bCs/>
          <w:color w:val="1B211F"/>
          <w:sz w:val="21"/>
          <w:szCs w:val="21"/>
        </w:rPr>
        <w:t xml:space="preserve">No real patient data exists in the system today.</w:t>
      </w:r>
      <w:r>
        <w:rPr>
          <w:rFonts w:ascii="Calibri" w:cs="Calibri" w:eastAsia="Calibri" w:hAnsi="Calibri"/>
          <w:color w:val="1B211F"/>
          <w:sz w:val="21"/>
          <w:szCs w:val="21"/>
        </w:rPr>
        <w:t xml:space="preserve"> The entire build to date runs on fictional patients generated from an invented case-mix, and nothing has been deployed to any server. That is deliberate: these questions are being asked before the decisions they govern become expensive to reverse.</w:t>
      </w:r>
    </w:p>
    <w:p>
      <w:pPr>
        <w:spacing w:after="140" w:before="0" w:line="276"/>
      </w:pPr>
      <w:r>
        <w:rPr>
          <w:rFonts w:ascii="Calibri" w:cs="Calibri" w:eastAsia="Calibri" w:hAnsi="Calibri"/>
          <w:color w:val="1B211F"/>
          <w:sz w:val="21"/>
          <w:szCs w:val="21"/>
        </w:rPr>
        <w:t xml:space="preserve">Two decisions wait on your answers — where the system may be hosted, and how patient consent is modelled. Both are inexpensive to change now and very costly to change after the first real patient is registered.</w:t>
      </w:r>
    </w:p>
    <w:p>
      <w:pPr>
        <w:pStyle w:val="Heading1"/>
        <w:spacing w:after="160" w:before="340"/>
      </w:pPr>
      <w:r>
        <w:rPr>
          <w:rFonts w:ascii="Calibri" w:cs="Calibri" w:eastAsia="Calibri" w:hAnsi="Calibri"/>
          <w:b/>
          <w:bCs/>
          <w:color w:val="0F5C57"/>
          <w:sz w:val="26"/>
          <w:szCs w:val="26"/>
        </w:rPr>
        <w:t xml:space="preserve">2.  What form of answer is useful</w:t>
      </w:r>
    </w:p>
    <w:p>
      <w:pPr>
        <w:spacing w:after="140" w:before="0" w:line="276"/>
      </w:pPr>
      <w:r>
        <w:rPr>
          <w:rFonts w:ascii="Calibri" w:cs="Calibri" w:eastAsia="Calibri" w:hAnsi="Calibri"/>
          <w:color w:val="1B211F"/>
          <w:sz w:val="21"/>
          <w:szCs w:val="21"/>
        </w:rPr>
        <w:t xml:space="preserve">For each question: a direct answer, the provision or instrument it rests on, and — where the position is unsettled — a statement that it is unsettled together with the prudent course. A qualified “probably, subject to X” is considerably more useful to us than a confident answer that later has to be revisited.</w:t>
      </w:r>
    </w:p>
    <w:p>
      <w:pPr>
        <w:pStyle w:val="Heading1"/>
        <w:spacing w:after="160" w:before="340"/>
      </w:pPr>
      <w:r>
        <w:rPr>
          <w:rFonts w:ascii="Calibri" w:cs="Calibri" w:eastAsia="Calibri" w:hAnsi="Calibri"/>
          <w:b/>
          <w:bCs/>
          <w:color w:val="0F5C57"/>
          <w:sz w:val="26"/>
          <w:szCs w:val="26"/>
        </w:rPr>
        <w:t xml:space="preserve">3.  The questions</w:t>
      </w:r>
    </w:p>
    <w:p>
      <w:pPr>
        <w:pStyle w:val="Heading2"/>
        <w:spacing w:after="120" w:before="260"/>
      </w:pPr>
      <w:r>
        <w:rPr>
          <w:rFonts w:ascii="Calibri" w:cs="Calibri" w:eastAsia="Calibri" w:hAnsi="Calibri"/>
          <w:b/>
          <w:bCs/>
          <w:color w:val="1B211F"/>
          <w:sz w:val="22"/>
          <w:szCs w:val="22"/>
        </w:rPr>
        <w:t xml:space="preserve">A.  Classification of health data</w:t>
      </w:r>
    </w:p>
    <w:p>
      <w:pPr>
        <w:spacing w:after="120" w:before="140" w:line="276"/>
      </w:pPr>
      <w:r>
        <w:rPr>
          <w:rFonts w:ascii="Calibri" w:cs="Calibri" w:eastAsia="Calibri" w:hAnsi="Calibri"/>
          <w:b/>
          <w:bCs/>
          <w:color w:val="0F5C57"/>
          <w:sz w:val="21"/>
          <w:szCs w:val="21"/>
        </w:rPr>
        <w:t xml:space="preserve">Q1.  </w:t>
      </w:r>
      <w:r>
        <w:rPr>
          <w:rFonts w:ascii="Calibri" w:cs="Calibri" w:eastAsia="Calibri" w:hAnsi="Calibri"/>
          <w:color w:val="1B211F"/>
          <w:sz w:val="21"/>
          <w:szCs w:val="21"/>
        </w:rPr>
        <w:t xml:space="preserve">Does the Personal Data Protection Act, 2026 treat health data — diagnoses, laboratory results, prescriptions, clinical notes — as a special or sensitive category of personal data attracting obligations beyond those applying to ordinary personal data? If so, which obligations specifically: heightened consent, security standards, breach notification thresholds, registration with a regulator, appointment of a data protection officer, or others?</w:t>
      </w:r>
    </w:p>
    <w:p>
      <w:pPr>
        <w:pStyle w:val="Heading2"/>
        <w:spacing w:after="120" w:before="260"/>
      </w:pPr>
      <w:r>
        <w:rPr>
          <w:rFonts w:ascii="Calibri" w:cs="Calibri" w:eastAsia="Calibri" w:hAnsi="Calibri"/>
          <w:b/>
          <w:bCs/>
          <w:color w:val="1B211F"/>
          <w:sz w:val="22"/>
          <w:szCs w:val="22"/>
        </w:rPr>
        <w:t xml:space="preserve">B.  Cross-border processing and residency</w:t>
      </w:r>
    </w:p>
    <w:p>
      <w:pPr>
        <w:spacing w:after="120" w:before="140" w:line="276"/>
      </w:pPr>
      <w:r>
        <w:rPr>
          <w:rFonts w:ascii="Calibri" w:cs="Calibri" w:eastAsia="Calibri" w:hAnsi="Calibri"/>
          <w:b/>
          <w:bCs/>
          <w:color w:val="0F5C57"/>
          <w:sz w:val="21"/>
          <w:szCs w:val="21"/>
        </w:rPr>
        <w:t xml:space="preserve">Q2.  </w:t>
      </w:r>
      <w:r>
        <w:rPr>
          <w:rFonts w:ascii="Calibri" w:cs="Calibri" w:eastAsia="Calibri" w:hAnsi="Calibri"/>
          <w:color w:val="1B211F"/>
          <w:sz w:val="21"/>
          <w:szCs w:val="21"/>
        </w:rPr>
        <w:t xml:space="preserve">May personal data of this kind be processed or stored outside Bangladesh — for example on cloud infrastructure located in Singapore, India or Europe? If it may, on what lawful basis, and subject to what conditions: an adequacy determination, contractual safeguards, explicit consent, prior authorisation, or registration? If it may not, is the restriction absolute, or does it permit a copy abroad provided a primary copy remains in Bangladesh?</w:t>
      </w:r>
    </w:p>
    <w:p>
      <w:pPr>
        <w:spacing w:after="120" w:before="140" w:line="276"/>
      </w:pPr>
      <w:r>
        <w:rPr>
          <w:rFonts w:ascii="Calibri" w:cs="Calibri" w:eastAsia="Calibri" w:hAnsi="Calibri"/>
          <w:b/>
          <w:bCs/>
          <w:color w:val="0F5C57"/>
          <w:sz w:val="21"/>
          <w:szCs w:val="21"/>
        </w:rPr>
        <w:t xml:space="preserve">Q3.  </w:t>
      </w:r>
      <w:r>
        <w:rPr>
          <w:rFonts w:ascii="Calibri" w:cs="Calibri" w:eastAsia="Calibri" w:hAnsi="Calibri"/>
          <w:color w:val="1B211F"/>
          <w:sz w:val="21"/>
          <w:szCs w:val="21"/>
        </w:rPr>
        <w:t xml:space="preserve">Are backup and disaster-recovery copies treated the same as primary storage for the purposes of Q2? This matters concretely: our resilience design assumes backups held in a second geographic region, and if that region must be domestic, the design changes.</w:t>
      </w:r>
    </w:p>
    <w:p>
      <w:pPr>
        <w:pStyle w:val="Heading2"/>
        <w:spacing w:after="120" w:before="260"/>
      </w:pPr>
      <w:r>
        <w:rPr>
          <w:rFonts w:ascii="Calibri" w:cs="Calibri" w:eastAsia="Calibri" w:hAnsi="Calibri"/>
          <w:b/>
          <w:bCs/>
          <w:color w:val="1B211F"/>
          <w:sz w:val="22"/>
          <w:szCs w:val="22"/>
        </w:rPr>
        <w:t xml:space="preserve">C.  National ID images</w:t>
      </w:r>
    </w:p>
    <w:p>
      <w:pPr>
        <w:spacing w:after="120" w:before="140" w:line="276"/>
      </w:pPr>
      <w:r>
        <w:rPr>
          <w:rFonts w:ascii="Calibri" w:cs="Calibri" w:eastAsia="Calibri" w:hAnsi="Calibri"/>
          <w:b/>
          <w:bCs/>
          <w:color w:val="0F5C57"/>
          <w:sz w:val="21"/>
          <w:szCs w:val="21"/>
        </w:rPr>
        <w:t xml:space="preserve">Q4.  </w:t>
      </w:r>
      <w:r>
        <w:rPr>
          <w:rFonts w:ascii="Calibri" w:cs="Calibri" w:eastAsia="Calibri" w:hAnsi="Calibri"/>
          <w:color w:val="1B211F"/>
          <w:sz w:val="21"/>
          <w:szCs w:val="21"/>
        </w:rPr>
        <w:t xml:space="preserve">Are there localisation, retention or handling duties specific to NID data or images of NID cards — whether under the Act, under National Identity Registration legislation, or under Election Commission rules? We would prefer not to store NID images at all if a verified reference number is sufficient; whether that choice is ours to make is part of the question.</w:t>
      </w:r>
    </w:p>
    <w:p>
      <w:pPr>
        <w:pStyle w:val="Heading2"/>
        <w:spacing w:after="120" w:before="260"/>
      </w:pPr>
      <w:r>
        <w:rPr>
          <w:rFonts w:ascii="Calibri" w:cs="Calibri" w:eastAsia="Calibri" w:hAnsi="Calibri"/>
          <w:b/>
          <w:bCs/>
          <w:color w:val="1B211F"/>
          <w:sz w:val="22"/>
          <w:szCs w:val="22"/>
        </w:rPr>
        <w:t xml:space="preserve">D.  Consent</w:t>
      </w:r>
    </w:p>
    <w:p>
      <w:pPr>
        <w:spacing w:after="120" w:before="140" w:line="276"/>
      </w:pPr>
      <w:r>
        <w:rPr>
          <w:rFonts w:ascii="Calibri" w:cs="Calibri" w:eastAsia="Calibri" w:hAnsi="Calibri"/>
          <w:b/>
          <w:bCs/>
          <w:color w:val="0F5C57"/>
          <w:sz w:val="21"/>
          <w:szCs w:val="21"/>
        </w:rPr>
        <w:t xml:space="preserve">Q5.  </w:t>
      </w:r>
      <w:r>
        <w:rPr>
          <w:rFonts w:ascii="Calibri" w:cs="Calibri" w:eastAsia="Calibri" w:hAnsi="Calibri"/>
          <w:color w:val="1B211F"/>
          <w:sz w:val="21"/>
          <w:szCs w:val="21"/>
        </w:rPr>
        <w:t xml:space="preserve">Would a layered, versioned consent model satisfy the Act’s consent requirements? Concretely, we propose separate and separately revocable consents for (i) clinical care and the records it generates, (ii) communication by SMS or messaging application, and (iii) inclusion of de-identified data in clinical research — each recorded against the version of the wording the patient actually saw.</w:t>
      </w:r>
    </w:p>
    <w:p>
      <w:pPr>
        <w:spacing w:after="90" w:before="0" w:line="276"/>
        <w:ind w:left="340"/>
      </w:pPr>
      <w:r>
        <w:rPr>
          <w:rFonts w:ascii="Calibri" w:cs="Calibri" w:eastAsia="Calibri" w:hAnsi="Calibri"/>
          <w:color w:val="1B211F"/>
          <w:sz w:val="21"/>
          <w:szCs w:val="21"/>
        </w:rPr>
        <w:t xml:space="preserve">Two follow-ups on Q5:</w:t>
      </w:r>
    </w:p>
    <w:p>
      <w:pPr>
        <w:pStyle w:val="ListParagraph"/>
        <w:numPr>
          <w:ilvl w:val="0"/>
          <w:numId w:val="1"/>
        </w:numPr>
        <w:spacing w:after="90" w:line="276"/>
      </w:pPr>
      <w:r>
        <w:rPr>
          <w:rFonts w:ascii="Calibri" w:cs="Calibri" w:eastAsia="Calibri" w:hAnsi="Calibri"/>
          <w:color w:val="1B211F"/>
          <w:sz w:val="21"/>
          <w:szCs w:val="21"/>
        </w:rPr>
        <w:t xml:space="preserve">What must be recorded to evidence valid consent — wording version, timestamp, method, witness, signature?</w:t>
      </w:r>
    </w:p>
    <w:p>
      <w:pPr>
        <w:pStyle w:val="ListParagraph"/>
        <w:numPr>
          <w:ilvl w:val="0"/>
          <w:numId w:val="1"/>
        </w:numPr>
        <w:spacing w:after="90" w:line="276"/>
      </w:pPr>
      <w:r>
        <w:rPr>
          <w:rFonts w:ascii="Calibri" w:cs="Calibri" w:eastAsia="Calibri" w:hAnsi="Calibri"/>
          <w:color w:val="1B211F"/>
          <w:sz w:val="21"/>
          <w:szCs w:val="21"/>
        </w:rPr>
        <w:t xml:space="preserve">What must happen operationally on revocation? Does revoking research consent oblige us to remove already-extracted de-identified data from a research dataset, or only to exclude the patient going forward?</w:t>
      </w:r>
    </w:p>
    <w:p>
      <w:pPr>
        <w:pStyle w:val="Heading2"/>
        <w:spacing w:after="120" w:before="260"/>
      </w:pPr>
      <w:r>
        <w:rPr>
          <w:rFonts w:ascii="Calibri" w:cs="Calibri" w:eastAsia="Calibri" w:hAnsi="Calibri"/>
          <w:b/>
          <w:bCs/>
          <w:color w:val="1B211F"/>
          <w:sz w:val="22"/>
          <w:szCs w:val="22"/>
        </w:rPr>
        <w:t xml:space="preserve">E.  Retention, erasure and the medical record</w:t>
      </w:r>
    </w:p>
    <w:p>
      <w:pPr>
        <w:spacing w:after="120" w:before="140" w:line="276"/>
      </w:pPr>
      <w:r>
        <w:rPr>
          <w:rFonts w:ascii="Calibri" w:cs="Calibri" w:eastAsia="Calibri" w:hAnsi="Calibri"/>
          <w:b/>
          <w:bCs/>
          <w:color w:val="0F5C57"/>
          <w:sz w:val="21"/>
          <w:szCs w:val="21"/>
        </w:rPr>
        <w:t xml:space="preserve">Q6.  </w:t>
      </w:r>
      <w:r>
        <w:rPr>
          <w:rFonts w:ascii="Calibri" w:cs="Calibri" w:eastAsia="Calibri" w:hAnsi="Calibri"/>
          <w:color w:val="1B211F"/>
          <w:sz w:val="21"/>
          <w:szCs w:val="21"/>
        </w:rPr>
        <w:t xml:space="preserve">How long must medical records be retained under Bangladeshi law or BMDC requirements, and does a patient’s right to erasure (if the Act confers one) override that retention duty, or yield to it?</w:t>
      </w:r>
    </w:p>
    <w:p>
      <w:pPr>
        <w:spacing w:after="140" w:before="0" w:line="276"/>
        <w:ind w:left="340"/>
      </w:pPr>
      <w:r>
        <w:rPr>
          <w:rFonts w:ascii="Calibri" w:cs="Calibri" w:eastAsia="Calibri" w:hAnsi="Calibri"/>
          <w:color w:val="1B211F"/>
          <w:sz w:val="21"/>
          <w:szCs w:val="21"/>
        </w:rPr>
        <w:t xml:space="preserve">This question is architectural, not merely procedural. </w:t>
      </w:r>
      <w:r>
        <w:rPr>
          <w:rFonts w:ascii="Calibri" w:cs="Calibri" w:eastAsia="Calibri" w:hAnsi="Calibri"/>
          <w:b/>
          <w:bCs/>
          <w:color w:val="1B211F"/>
          <w:sz w:val="21"/>
          <w:szCs w:val="21"/>
        </w:rPr>
        <w:t xml:space="preserve">The system’s clinical record is designed as an append-only ledger</w:t>
      </w:r>
      <w:r>
        <w:rPr>
          <w:rFonts w:ascii="Calibri" w:cs="Calibri" w:eastAsia="Calibri" w:hAnsi="Calibri"/>
          <w:color w:val="1B211F"/>
          <w:sz w:val="21"/>
          <w:szCs w:val="21"/>
        </w:rPr>
        <w:t xml:space="preserve">: a correction is recorded as a new entry and the original remains, so that what a clinician saw at the moment they decided is always recoverable. That is a patient-safety property and a medico-legal one. It is also, on its face, in tension with any obligation to erase. We need to know which duty prevails before the database is built, because reconciling them afterwards is not a small change.</w:t>
      </w:r>
    </w:p>
    <w:p>
      <w:pPr>
        <w:pStyle w:val="Heading2"/>
        <w:spacing w:after="120" w:before="260"/>
      </w:pPr>
      <w:r>
        <w:rPr>
          <w:rFonts w:ascii="Calibri" w:cs="Calibri" w:eastAsia="Calibri" w:hAnsi="Calibri"/>
          <w:b/>
          <w:bCs/>
          <w:color w:val="1B211F"/>
          <w:sz w:val="22"/>
          <w:szCs w:val="22"/>
        </w:rPr>
        <w:t xml:space="preserve">F.  The digital prescription</w:t>
      </w:r>
    </w:p>
    <w:p>
      <w:pPr>
        <w:spacing w:after="120" w:before="140" w:line="276"/>
      </w:pPr>
      <w:r>
        <w:rPr>
          <w:rFonts w:ascii="Calibri" w:cs="Calibri" w:eastAsia="Calibri" w:hAnsi="Calibri"/>
          <w:b/>
          <w:bCs/>
          <w:color w:val="0F5C57"/>
          <w:sz w:val="21"/>
          <w:szCs w:val="21"/>
        </w:rPr>
        <w:t xml:space="preserve">Q7.  </w:t>
      </w:r>
      <w:r>
        <w:rPr>
          <w:rFonts w:ascii="Calibri" w:cs="Calibri" w:eastAsia="Calibri" w:hAnsi="Calibri"/>
          <w:color w:val="1B211F"/>
          <w:sz w:val="21"/>
          <w:szCs w:val="21"/>
        </w:rPr>
        <w:t xml:space="preserve">Is a prescription generated and signed electronically by a registered physician legally valid in Bangladesh — for dispensing by a pharmacy, and as evidence? Specifically: is a server-side cryptographic signature with a tamper-evident audit trail sufficient, or is a licensed Digital Signature Certificate under the Information and Communication Technology Act required for the signature to have legal effect? Does BMDC impose any separate requirement as to the form, content or signature of a prescription issued electronically?</w:t>
      </w:r>
    </w:p>
    <w:p>
      <w:pPr>
        <w:pStyle w:val="Heading1"/>
        <w:spacing w:after="160" w:before="340"/>
      </w:pPr>
      <w:r>
        <w:rPr>
          <w:rFonts w:ascii="Calibri" w:cs="Calibri" w:eastAsia="Calibri" w:hAnsi="Calibri"/>
          <w:b/>
          <w:bCs/>
          <w:color w:val="0F5C57"/>
          <w:sz w:val="26"/>
          <w:szCs w:val="26"/>
        </w:rPr>
        <w:t xml:space="preserve">4.  Not a question for you</w:t>
      </w:r>
    </w:p>
    <w:p>
      <w:pPr>
        <w:spacing w:after="140" w:before="0" w:line="276"/>
      </w:pPr>
      <w:r>
        <w:rPr>
          <w:rFonts w:ascii="Calibri" w:cs="Calibri" w:eastAsia="Calibri" w:hAnsi="Calibri"/>
          <w:color w:val="1B211F"/>
          <w:sz w:val="21"/>
          <w:szCs w:val="21"/>
        </w:rPr>
        <w:t xml:space="preserve">SNOMED CT licensing is noted only so the set is complete. It is answered by SNOMED International rather than by counsel: whether Bangladesh is a Member country or qualifies under the low-income-country waiver, and therefore whether SNOMED CT content may be embedded free of charge. Nothing SNOMED-derived will be embedded until that is confirmed in writing. ICD-10 and ICD-11 are published by the WHO under considerably more permissive terms and are unaffected.</w:t>
      </w:r>
    </w:p>
    <w:p>
      <w:pPr>
        <w:pStyle w:val="Heading1"/>
        <w:spacing w:after="160" w:before="340"/>
      </w:pPr>
      <w:r>
        <w:rPr>
          <w:rFonts w:ascii="Calibri" w:cs="Calibri" w:eastAsia="Calibri" w:hAnsi="Calibri"/>
          <w:b/>
          <w:bCs/>
          <w:color w:val="0F5C57"/>
          <w:sz w:val="26"/>
          <w:szCs w:val="26"/>
        </w:rPr>
        <w:t xml:space="preserve">5.  Why the timing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shd w:fill="EEF4F2" w:val="clear"/>
            <w:tcMar>
              <w:top w:type="dxa" w:w="80"/>
              <w:left w:type="dxa" w:w="110"/>
              <w:bottom w:type="dxa" w:w="80"/>
              <w:right w:type="dxa" w:w="110"/>
            </w:tcMar>
          </w:tcPr>
          <w:p>
            <w:pPr>
              <w:spacing w:after="0" w:line="260"/>
            </w:pPr>
            <w:r>
              <w:rPr>
                <w:rFonts w:ascii="Calibri" w:cs="Calibri" w:eastAsia="Calibri" w:hAnsi="Calibri"/>
                <w:b/>
                <w:bCs/>
                <w:color w:val="0F5C57"/>
                <w:sz w:val="19"/>
                <w:szCs w:val="19"/>
              </w:rPr>
              <w:t xml:space="preserve">Answer to</w:t>
            </w:r>
          </w:p>
        </w:tc>
        <w:tc>
          <w:tcPr>
            <w:tcW w:type="dxa" w:w="3900"/>
            <w:shd w:fill="EEF4F2" w:val="clear"/>
            <w:tcMar>
              <w:top w:type="dxa" w:w="80"/>
              <w:left w:type="dxa" w:w="110"/>
              <w:bottom w:type="dxa" w:w="80"/>
              <w:right w:type="dxa" w:w="110"/>
            </w:tcMar>
          </w:tcPr>
          <w:p>
            <w:pPr>
              <w:spacing w:after="0" w:line="260"/>
            </w:pPr>
            <w:r>
              <w:rPr>
                <w:rFonts w:ascii="Calibri" w:cs="Calibri" w:eastAsia="Calibri" w:hAnsi="Calibri"/>
                <w:b/>
                <w:bCs/>
                <w:color w:val="0F5C57"/>
                <w:sz w:val="19"/>
                <w:szCs w:val="19"/>
              </w:rPr>
              <w:t xml:space="preserve">Determines</w:t>
            </w:r>
          </w:p>
        </w:tc>
        <w:tc>
          <w:tcPr>
            <w:tcW w:type="dxa" w:w="3360"/>
            <w:shd w:fill="EEF4F2" w:val="clear"/>
            <w:tcMar>
              <w:top w:type="dxa" w:w="80"/>
              <w:left w:type="dxa" w:w="110"/>
              <w:bottom w:type="dxa" w:w="80"/>
              <w:right w:type="dxa" w:w="110"/>
            </w:tcMar>
          </w:tcPr>
          <w:p>
            <w:pPr>
              <w:spacing w:after="0" w:line="260"/>
            </w:pPr>
            <w:r>
              <w:rPr>
                <w:rFonts w:ascii="Calibri" w:cs="Calibri" w:eastAsia="Calibri" w:hAnsi="Calibri"/>
                <w:b/>
                <w:bCs/>
                <w:color w:val="0F5C57"/>
                <w:sz w:val="19"/>
                <w:szCs w:val="19"/>
              </w:rPr>
              <w:t xml:space="preserve">Currently blocks</w:t>
            </w:r>
          </w:p>
        </w:tc>
      </w:tr>
      <w:tr>
        <w:tc>
          <w:tcPr>
            <w:tcW w:type="dxa" w:w="2100"/>
            <w:tcMar>
              <w:top w:type="dxa" w:w="80"/>
              <w:left w:type="dxa" w:w="110"/>
              <w:bottom w:type="dxa" w:w="80"/>
              <w:right w:type="dxa" w:w="110"/>
            </w:tcMar>
          </w:tcPr>
          <w:p>
            <w:pPr>
              <w:spacing w:after="0" w:line="260"/>
            </w:pPr>
            <w:r>
              <w:rPr>
                <w:rFonts w:ascii="Calibri" w:cs="Calibri" w:eastAsia="Calibri" w:hAnsi="Calibri"/>
                <w:b/>
                <w:bCs/>
                <w:color w:val="1B211F"/>
                <w:sz w:val="19"/>
                <w:szCs w:val="19"/>
              </w:rPr>
              <w:t xml:space="preserve">Q1–Q4</w:t>
            </w:r>
          </w:p>
        </w:tc>
        <w:tc>
          <w:tcPr>
            <w:tcW w:type="dxa" w:w="390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Where the system may be hosted, and how NID data is handled</w:t>
            </w:r>
          </w:p>
        </w:tc>
        <w:tc>
          <w:tcPr>
            <w:tcW w:type="dxa" w:w="336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All cloud infrastructure, and every deployed environment</w:t>
            </w:r>
          </w:p>
        </w:tc>
      </w:tr>
      <w:tr>
        <w:tc>
          <w:tcPr>
            <w:tcW w:type="dxa" w:w="2100"/>
            <w:tcMar>
              <w:top w:type="dxa" w:w="80"/>
              <w:left w:type="dxa" w:w="110"/>
              <w:bottom w:type="dxa" w:w="80"/>
              <w:right w:type="dxa" w:w="110"/>
            </w:tcMar>
          </w:tcPr>
          <w:p>
            <w:pPr>
              <w:spacing w:after="0" w:line="260"/>
            </w:pPr>
            <w:r>
              <w:rPr>
                <w:rFonts w:ascii="Calibri" w:cs="Calibri" w:eastAsia="Calibri" w:hAnsi="Calibri"/>
                <w:b/>
                <w:bCs/>
                <w:color w:val="1B211F"/>
                <w:sz w:val="19"/>
                <w:szCs w:val="19"/>
              </w:rPr>
              <w:t xml:space="preserve">Q5</w:t>
            </w:r>
          </w:p>
        </w:tc>
        <w:tc>
          <w:tcPr>
            <w:tcW w:type="dxa" w:w="390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The consent data model and its enforcement points</w:t>
            </w:r>
          </w:p>
        </w:tc>
        <w:tc>
          <w:tcPr>
            <w:tcW w:type="dxa" w:w="336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Patient registration, research export, all outbound communication</w:t>
            </w:r>
          </w:p>
        </w:tc>
      </w:tr>
      <w:tr>
        <w:tc>
          <w:tcPr>
            <w:tcW w:type="dxa" w:w="2100"/>
            <w:tcMar>
              <w:top w:type="dxa" w:w="80"/>
              <w:left w:type="dxa" w:w="110"/>
              <w:bottom w:type="dxa" w:w="80"/>
              <w:right w:type="dxa" w:w="110"/>
            </w:tcMar>
          </w:tcPr>
          <w:p>
            <w:pPr>
              <w:spacing w:after="0" w:line="260"/>
            </w:pPr>
            <w:r>
              <w:rPr>
                <w:rFonts w:ascii="Calibri" w:cs="Calibri" w:eastAsia="Calibri" w:hAnsi="Calibri"/>
                <w:b/>
                <w:bCs/>
                <w:color w:val="1B211F"/>
                <w:sz w:val="19"/>
                <w:szCs w:val="19"/>
              </w:rPr>
              <w:t xml:space="preserve">Q6</w:t>
            </w:r>
          </w:p>
        </w:tc>
        <w:tc>
          <w:tcPr>
            <w:tcW w:type="dxa" w:w="390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Whether the append-only clinical ledger survives as designed</w:t>
            </w:r>
          </w:p>
        </w:tc>
        <w:tc>
          <w:tcPr>
            <w:tcW w:type="dxa" w:w="336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The clinical record schema</w:t>
            </w:r>
          </w:p>
        </w:tc>
      </w:tr>
      <w:tr>
        <w:tc>
          <w:tcPr>
            <w:tcW w:type="dxa" w:w="2100"/>
            <w:tcMar>
              <w:top w:type="dxa" w:w="80"/>
              <w:left w:type="dxa" w:w="110"/>
              <w:bottom w:type="dxa" w:w="80"/>
              <w:right w:type="dxa" w:w="110"/>
            </w:tcMar>
          </w:tcPr>
          <w:p>
            <w:pPr>
              <w:spacing w:after="0" w:line="260"/>
            </w:pPr>
            <w:r>
              <w:rPr>
                <w:rFonts w:ascii="Calibri" w:cs="Calibri" w:eastAsia="Calibri" w:hAnsi="Calibri"/>
                <w:b/>
                <w:bCs/>
                <w:color w:val="1B211F"/>
                <w:sz w:val="19"/>
                <w:szCs w:val="19"/>
              </w:rPr>
              <w:t xml:space="preserve">Q7</w:t>
            </w:r>
          </w:p>
        </w:tc>
        <w:tc>
          <w:tcPr>
            <w:tcW w:type="dxa" w:w="390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Whether an electronic signature suffices, or a licensed certificate must be procured</w:t>
            </w:r>
          </w:p>
        </w:tc>
        <w:tc>
          <w:tcPr>
            <w:tcW w:type="dxa" w:w="3360"/>
            <w:tcMar>
              <w:top w:type="dxa" w:w="80"/>
              <w:left w:type="dxa" w:w="110"/>
              <w:bottom w:type="dxa" w:w="80"/>
              <w:right w:type="dxa" w:w="110"/>
            </w:tcMar>
          </w:tcPr>
          <w:p>
            <w:pPr>
              <w:spacing w:after="0" w:line="260"/>
            </w:pPr>
            <w:r>
              <w:rPr>
                <w:rFonts w:ascii="Calibri" w:cs="Calibri" w:eastAsia="Calibri" w:hAnsi="Calibri"/>
                <w:b w:val="false"/>
                <w:bCs w:val="false"/>
                <w:color w:val="1B211F"/>
                <w:sz w:val="19"/>
                <w:szCs w:val="19"/>
              </w:rPr>
              <w:t xml:space="preserve">Prescription signing</w:t>
            </w:r>
          </w:p>
        </w:tc>
      </w:tr>
    </w:tbl>
    <w:p>
      <w:pPr>
        <w:spacing w:after="140" w:before="200" w:line="276"/>
      </w:pPr>
      <w:r>
        <w:rPr>
          <w:rFonts w:ascii="Calibri" w:cs="Calibri" w:eastAsia="Calibri" w:hAnsi="Calibri"/>
          <w:color w:val="1B211F"/>
          <w:sz w:val="21"/>
          <w:szCs w:val="21"/>
        </w:rPr>
        <w:t xml:space="preserve">Questions 1 to 4 are the urgent ones. Nothing can be deployed until they are answered, and the project has reached the point where the next phase of work assumes an answer.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2026-09-01T03:33:52.598Z</dcterms:created>
  <dcterms:modified xsi:type="dcterms:W3CDTF">2026-09-01T03:33:52.610Z</dcterms:modified>
</cp:coreProperties>
</file>

<file path=docProps/custom.xml><?xml version="1.0" encoding="utf-8"?>
<Properties xmlns="http://schemas.openxmlformats.org/officeDocument/2006/custom-properties" xmlns:vt="http://schemas.openxmlformats.org/officeDocument/2006/docPropsVTypes"/>
</file>