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Endocrine clinic caseload</w:t>
      </w:r>
    </w:p>
    <w:p>
      <w:pPr>
        <w:pBdr>
          <w:bottom w:val="single" w:color="2F7A7A" w:sz="6"/>
        </w:pBdr>
        <w:spacing w:after="240"/>
      </w:pPr>
      <w:r>
        <w:rPr>
          <w:rFonts w:ascii="Calibri" w:cs="Calibri" w:eastAsia="Calibri" w:hAnsi="Calibri"/>
          <w:color w:val="5A5A5A"/>
          <w:sz w:val="21"/>
          <w:szCs w:val="21"/>
        </w:rPr>
        <w:t xml:space="preserve">A short questionnaire  ·  about 20 minutes  ·  no patient data required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Why you are being asked</w:t>
      </w:r>
    </w:p>
    <w:p>
      <w:pPr>
        <w:spacing w:after="140" w:before="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We are building a clinic management system for a diabetes, thyroid and hormone practice in Bangladesh. Before it can be tested properly it needs a few thousand invented patient records — fictional people with plausible ages, diagnoses, laboratory values, prescriptions and follow-up histories.</w:t>
      </w:r>
    </w:p>
    <w:p>
      <w:pPr>
        <w:spacing w:after="140" w:before="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Invented records are easy to generate. Invented records a clinician would find believable are not, and the difference matters more than it sounds. If the test data is wrong, the software gets tested against a population that does not exist: screens laid out for the wrong distributions, performance measured against the wrong volumes, safety rules exercised against values no real patient presents with. Each of those surfaces later, in a live clinic, as a surprise.</w:t>
      </w:r>
    </w:p>
    <w:p>
      <w:pPr>
        <w:spacing w:after="60" w:before="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So we would rather ask someone who sees these patients.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What is wanted — and what is not</w:t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Wanted: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your general impression of the shape of an endocrine caseload. Proportions, typical ranges, what is common and what is rare.</w:t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Not wanted, and please do not provide: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anything from a patient record. No extracts from a management system, no spreadsheets, no individual cases from memory. Nothing here should identify anyone, and nothing here requires looking anything up.</w:t>
      </w:r>
    </w:p>
    <w:p>
      <w:pPr>
        <w:spacing w:after="120" w:before="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An answer like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“about two-thirds of the diabetes we see is type 2, and most present late with an HbA1c around 9 or 10”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is exactly right. Approximation is expected — the aim is plausibility, not precision.</w:t>
      </w:r>
    </w:p>
    <w:p>
      <w:pPr>
        <w:spacing w:after="60" w:before="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If a question is outside your practice, or you would rather not estimate, leave it blank.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 blank is more useful than a guess: blanks get filled from published figures and marked clearly as not yours.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1.  Who attends the clinic</w:t>
      </w:r>
    </w:p>
    <w:p>
      <w:pPr>
        <w:spacing w:after="140" w:before="0" w:line="264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Percentages, ranges or a phrase — whichever is easiest. “About 85% adult” is a complete answer.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3480"/>
      </w:tblGrid>
      <w:tr>
        <w:trPr>
          <w:tblHeader/>
        </w:trP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EDF3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Question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EDF3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Adults vs children (under 18)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Women vs men, among adults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Typical adult age — median, and the usual range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Typical paediatric age — median, and range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Urban vs rural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New patients vs follow-ups, on a typical clinic day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2.  What brings them in</w:t>
      </w:r>
    </w:p>
    <w:p>
      <w:pPr>
        <w:spacing w:after="140" w:before="0" w:line="264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Approximate share of the caseload by the main problem they attend for. A patient with both diabetes and hypothyroidism counts once, under whichever brought them in.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80"/>
      </w:tblGrid>
      <w:tr>
        <w:trPr>
          <w:tblHeader/>
        </w:trPr>
        <w:tc>
          <w:tcPr>
            <w:tcW w:type="dxa" w:w="72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EDF3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Presenting problem</w:t>
            </w:r>
          </w:p>
        </w:tc>
        <w:tc>
          <w:tcPr>
            <w:tcW w:type="dxa" w:w="28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EDF3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% of caseload</w:t>
            </w:r>
          </w:p>
        </w:tc>
      </w:tr>
      <w:tr>
        <w:tc>
          <w:tcPr>
            <w:tcW w:type="dxa" w:w="72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Diabetes mellitus</w:t>
            </w:r>
          </w:p>
        </w:tc>
        <w:tc>
          <w:tcPr>
            <w:tcW w:type="dxa" w:w="28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Thyroid disorder</w:t>
            </w:r>
          </w:p>
        </w:tc>
        <w:tc>
          <w:tcPr>
            <w:tcW w:type="dxa" w:w="28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Obesity / metabolic syndrome</w:t>
            </w:r>
          </w:p>
        </w:tc>
        <w:tc>
          <w:tcPr>
            <w:tcW w:type="dxa" w:w="28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PCOS</w:t>
            </w:r>
          </w:p>
        </w:tc>
        <w:tc>
          <w:tcPr>
            <w:tcW w:type="dxa" w:w="28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Growth or pubertal concerns</w:t>
            </w:r>
          </w:p>
        </w:tc>
        <w:tc>
          <w:tcPr>
            <w:tcW w:type="dxa" w:w="28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Osteoporosis / calcium and vitamin D</w:t>
            </w:r>
          </w:p>
        </w:tc>
        <w:tc>
          <w:tcPr>
            <w:tcW w:type="dxa" w:w="28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Adrenal</w:t>
            </w:r>
          </w:p>
        </w:tc>
        <w:tc>
          <w:tcPr>
            <w:tcW w:type="dxa" w:w="28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Pituitary</w:t>
            </w:r>
          </w:p>
        </w:tc>
        <w:tc>
          <w:tcPr>
            <w:tcW w:type="dxa" w:w="28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Anything else you see regularly (please name)</w:t>
            </w:r>
          </w:p>
        </w:tc>
        <w:tc>
          <w:tcPr>
            <w:tcW w:type="dxa" w:w="28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  Diabetes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3480"/>
      </w:tblGrid>
      <w:tr>
        <w:trPr>
          <w:tblHeader/>
        </w:trP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EDF3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Question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EDF3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Type 2 — % of the diabetes caseload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Type 1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Gestational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Other or secondary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Typical age at diagnosis — type 2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Typical age at diagnosis — type 1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How long they have had it when first seen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HbA1c at first presentation — median, and usual range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Already at target (&lt;7%) at the first visit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At target after about a year of care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Typical fall in HbA1c over the first six months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Already have a complication when first seen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4.  Thyroid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3480"/>
      </w:tblGrid>
      <w:tr>
        <w:trPr>
          <w:tblHeader/>
        </w:trP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EDF3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Question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EDF3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Primary hypothyroidism — % of the thyroid caseload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Subclinical hypothyroidism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Hyperthyroidism / Graves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Euthyroid goitre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Nodule under surveillance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On replacement after surgery or radioiodine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Thyroid cancer follow-up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Women vs men in this group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TSH at presentation, hypothyroid — median and range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TSH at presentation, hyperthyroid — median and range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Usual levothyroxine starting dose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5.  Other conditions</w:t>
      </w:r>
    </w:p>
    <w:p>
      <w:pPr>
        <w:spacing w:after="140" w:before="0" w:line="264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Only those you see often enough to matter. Skip the rest.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900"/>
        <w:gridCol w:w="3780"/>
      </w:tblGrid>
      <w:tr>
        <w:trPr>
          <w:tblHeader/>
        </w:trPr>
        <w:tc>
          <w:tcPr>
            <w:tcW w:type="dxa" w:w="44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EDF3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Condition</w:t>
            </w:r>
          </w:p>
        </w:tc>
        <w:tc>
          <w:tcPr>
            <w:tcW w:type="dxa" w:w="19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EDF3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% of caseload</w:t>
            </w:r>
          </w:p>
        </w:tc>
        <w:tc>
          <w:tcPr>
            <w:tcW w:type="dxa" w:w="37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EDF3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Anything characteristic</w:t>
            </w:r>
          </w:p>
        </w:tc>
      </w:tr>
      <w:tr>
        <w:tc>
          <w:tcPr>
            <w:tcW w:type="dxa" w:w="44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PCOS</w:t>
            </w:r>
          </w:p>
        </w:tc>
        <w:tc>
          <w:tcPr>
            <w:tcW w:type="dxa" w:w="19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Obesity (and typical BMI range)</w:t>
            </w:r>
          </w:p>
        </w:tc>
        <w:tc>
          <w:tcPr>
            <w:tcW w:type="dxa" w:w="19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Osteoporosis</w:t>
            </w:r>
          </w:p>
        </w:tc>
        <w:tc>
          <w:tcPr>
            <w:tcW w:type="dxa" w:w="19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Short stature</w:t>
            </w:r>
          </w:p>
        </w:tc>
        <w:tc>
          <w:tcPr>
            <w:tcW w:type="dxa" w:w="19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Other:</w:t>
            </w:r>
          </w:p>
        </w:tc>
        <w:tc>
          <w:tcPr>
            <w:tcW w:type="dxa" w:w="19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6.  What else these patients have</w:t>
      </w:r>
    </w:p>
    <w:p>
      <w:pPr>
        <w:spacing w:after="140" w:before="0" w:line="264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So that an invented patient is not a diabetic with no other findings at all.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80"/>
      </w:tblGrid>
      <w:tr>
        <w:trPr>
          <w:tblHeader/>
        </w:trPr>
        <w:tc>
          <w:tcPr>
            <w:tcW w:type="dxa" w:w="72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EDF3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Comorbidity</w:t>
            </w:r>
          </w:p>
        </w:tc>
        <w:tc>
          <w:tcPr>
            <w:tcW w:type="dxa" w:w="28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EDF3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% of patients</w:t>
            </w:r>
          </w:p>
        </w:tc>
      </w:tr>
      <w:tr>
        <w:tc>
          <w:tcPr>
            <w:tcW w:type="dxa" w:w="72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Hypertension</w:t>
            </w:r>
          </w:p>
        </w:tc>
        <w:tc>
          <w:tcPr>
            <w:tcW w:type="dxa" w:w="28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Dyslipidaemia</w:t>
            </w:r>
          </w:p>
        </w:tc>
        <w:tc>
          <w:tcPr>
            <w:tcW w:type="dxa" w:w="28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Diabetic retinopathy</w:t>
            </w:r>
          </w:p>
        </w:tc>
        <w:tc>
          <w:tcPr>
            <w:tcW w:type="dxa" w:w="28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Diabetic neuropathy</w:t>
            </w:r>
          </w:p>
        </w:tc>
        <w:tc>
          <w:tcPr>
            <w:tcW w:type="dxa" w:w="28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Diabetic nephropathy / CKD</w:t>
            </w:r>
          </w:p>
        </w:tc>
        <w:tc>
          <w:tcPr>
            <w:tcW w:type="dxa" w:w="28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Diabetic foot</w:t>
            </w:r>
          </w:p>
        </w:tc>
        <w:tc>
          <w:tcPr>
            <w:tcW w:type="dxa" w:w="28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Fatty liver</w:t>
            </w:r>
          </w:p>
        </w:tc>
        <w:tc>
          <w:tcPr>
            <w:tcW w:type="dxa" w:w="28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Ischaemic heart disease</w:t>
            </w:r>
          </w:p>
        </w:tc>
        <w:tc>
          <w:tcPr>
            <w:tcW w:type="dxa" w:w="28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Both diabetes AND thyroid disease</w:t>
            </w:r>
          </w:p>
        </w:tc>
        <w:tc>
          <w:tcPr>
            <w:tcW w:type="dxa" w:w="28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7.  What you prescribe</w:t>
      </w:r>
    </w:p>
    <w:p>
      <w:pPr>
        <w:spacing w:after="140" w:before="0" w:line="264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Drug names and typical doses, as you would actually write them.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3480"/>
      </w:tblGrid>
      <w:tr>
        <w:trPr>
          <w:tblHeader/>
        </w:trP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EDF3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Question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EDF3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First line, newly diagnosed type 2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Most common two-drug combination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Most common three-drug combination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Type 2 patients on insulin (%)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Usual insulin regimen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SGLT2 inhibitor use — % of type 2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GLP-1 receptor agonist use — % of type 2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DPP-4 inhibitor use — % of type 2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Sulfonylurea use — % of type 2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Usual statin and dose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Anything commonly prescribed here that a European or American guideline would not predict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2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That last row is genuinely useful. </w:t>
      </w:r>
      <w:r>
        <w:rPr>
          <w:rFonts w:ascii="Calibri" w:cs="Calibri" w:eastAsia="Calibri" w:hAnsi="Calibri"/>
          <w:color w:val="5A5A5A"/>
          <w:sz w:val="20"/>
          <w:szCs w:val="20"/>
        </w:rPr>
        <w:t xml:space="preserve">Prescribing shaped by local availability, cost or patient preference is exactly what published figures miss.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8.  Follow-up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3480"/>
      </w:tblGrid>
      <w:tr>
        <w:trPr>
          <w:tblHeader/>
        </w:trP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EDF3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Question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EDF3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Routine review interval, stable patient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Review interval, poorly controlled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 not return within a year (%)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Typical number of visits in a patient’s first year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Investigations ordered at a routine review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9.  Names and language</w:t>
      </w:r>
    </w:p>
    <w:p>
      <w:pPr>
        <w:spacing w:after="140" w:before="0" w:line="264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The system generates names in both Bangla and English scripts.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3480"/>
      </w:tblGrid>
      <w:tr>
        <w:trPr>
          <w:tblHeader/>
        </w:trP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EDF3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Question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EDF3F3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Approximate mix of Muslim / Hindu / other names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Patients whose record would be kept in Bangla rather than English (%)</w:t>
            </w:r>
          </w:p>
        </w:tc>
        <w:tc>
          <w:tcPr>
            <w:tcW w:type="dxa" w:w="34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Anything we have not asked</w:t>
      </w:r>
    </w:p>
    <w:p>
      <w:pPr>
        <w:spacing w:after="100" w:before="0" w:line="264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If something here would strike a colleague as obviously wrong were it missing from a set of invented records, please say so — it is likely the most valuable answer on the page.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60" w:hRule="atLeast"/>
        </w:trPr>
        <w:tc>
          <w:tcPr>
            <w:tcW w:type="dxa" w:w="100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00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00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keepNext/>
        <w:spacing w:after="40" w:before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cantSplit/>
        </w:trPr>
        <w:tc>
          <w:tcPr>
            <w:tcW w:type="dxa" w:w="30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70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708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20" w:line="264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Thank you. These figures shape the test data for the whole system, and there is no way to get them right without a clinician.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Endocrine clinic caseload questionnaire</dc:title>
  <dc:creator>DTHC</dc:creator>
  <dc:description>Aggregate caseload proportions for generating realistic test data. No patient data.</dc:description>
  <cp:lastModifiedBy>Un-named</cp:lastModifiedBy>
  <cp:revision>1</cp:revision>
  <dcterms:created xsi:type="dcterms:W3CDTF">2026-08-25T07:09:22.980Z</dcterms:created>
  <dcterms:modified xsi:type="dcterms:W3CDTF">2026-08-25T07:09:22.980Z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