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Endocrine clinic caseload</w:t>
      </w:r>
    </w:p>
    <w:p>
      <w:pPr>
        <w:pBdr>
          <w:bottom w:val="single" w:color="2F7A7A" w:sz="6"/>
        </w:pBdr>
        <w:spacing w:after="240"/>
      </w:pPr>
      <w:r>
        <w:rPr>
          <w:rFonts w:ascii="Calibri" w:cs="Calibri" w:eastAsia="Calibri" w:hAnsi="Calibri"/>
          <w:color w:val="5A5A5A"/>
          <w:sz w:val="21"/>
          <w:szCs w:val="21"/>
        </w:rPr>
        <w:t xml:space="preserve">A short questionnaire  ·  about 20 minutes  ·  no patient data required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Why you are being asked</w:t>
      </w:r>
    </w:p>
    <w:p>
      <w:pPr>
        <w:spacing w:after="140" w:before="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We are building a clinic management system for a diabetes, thyroid and hormone practice in Bangladesh. Before it can be tested properly it needs a few thousand invented patient records — fictional people with plausible ages, diagnoses, laboratory values, prescriptions and follow-up histories.</w:t>
      </w:r>
    </w:p>
    <w:p>
      <w:pPr>
        <w:spacing w:after="140" w:before="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Invented records are easy to generate. Invented records a clinician would find believable are not, and the difference matters more than it sounds. If the test data is wrong, the software gets tested against a population that does not exist: screens laid out for the wrong distributions, performance measured against the wrong volumes, safety rules exercised against values no real patient presents with. Each of those surfaces later, in a live clinic, as a surprise.</w:t>
      </w:r>
    </w:p>
    <w:p>
      <w:pPr>
        <w:spacing w:after="60" w:before="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So we would rather ask someone who sees these patients.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What is wanted — and what is not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Wanted: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your general impression of the shape of an endocrine caseload. Proportions, typical ranges, what is common and what is rare.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Not wanted, and please do not provide: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anything from a patient record. No extracts from a management system, no spreadsheets, no individual cases from memory. Nothing here should identify anyone, and nothing here requires looking anything up.</w:t>
      </w:r>
    </w:p>
    <w:p>
      <w:pPr>
        <w:spacing w:after="120" w:before="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An answer like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“about two-thirds of the diabetes we see is type 2, and most present late with an HbA1c around 9 or 10”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is exactly right. Approximation is expected — the aim is plausibility, not precision.</w:t>
      </w:r>
    </w:p>
    <w:p>
      <w:pPr>
        <w:spacing w:after="60" w:before="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If a question is outside your practice, or you would rather not estimate, leave it blank.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 blank is more useful than a guess: blanks get filled from published figures and marked clearly as not yours.</w:t>
      </w:r>
    </w:p>
    <w:p>
      <w:pPr>
        <w:spacing w:before="100" w:after="180" w:line="259" w:lineRule="auto"/>
        <w:shd w:fill="F1F8F7"/>
      </w:pPr>
      <w:r>
        <w:rPr>
          <w:rFonts w:ascii="Arial" w:hAnsi="Arial"/>
          <w:b/>
          <w:color w:val="566160"/>
          <w:sz w:val="20"/>
        </w:rPr>
        <w:t xml:space="preserve">Completion basis: </w:t>
      </w:r>
      <w:r>
        <w:rPr>
          <w:rFonts w:ascii="Arial" w:hAnsi="Arial"/>
          <w:color w:val="566160"/>
          <w:sz w:val="20"/>
        </w:rPr>
        <w:t>These are approximate clinician estimates for synthetic-data testing. They have been normalized for internal consistency and are not audited prevalence figures. No patient-level data were used.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1.  Who attends the clinic</w:t>
      </w:r>
    </w:p>
    <w:p>
      <w:pPr>
        <w:keepNext/>
        <w:spacing w:after="140" w:before="0" w:line="264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Percentages, ranges or a phrase — whichever is easiest. “About 85% adult” is a complete answer.</w:t>
      </w:r>
    </w:p>
    <w:tbl>
      <w:tblPr>
        <w:tblW w:type="dxa" w:w="996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Ind w:type="dxa" w:w="120"/>
      </w:tblPr>
      <w:tblGrid>
        <w:gridCol w:w="4183"/>
        <w:gridCol w:w="5777"/>
      </w:tblGrid>
      <w:tr>
        <w:trPr>
          <w:tblHeader w:val="true"/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8F0F0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b/>
                <w:color w:val="191919"/>
                <w:sz w:val="19"/>
              </w:rPr>
              <w:t>Question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8F0F0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b/>
                <w:color w:val="191919"/>
                <w:sz w:val="19"/>
              </w:rPr>
              <w:t>Your answer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Adults vs children (under 18)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80% adults / 20% children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Women vs men, among adults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70% women / 30% men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Typical adult age — median, and the usual range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Median about 40 years; usual range 18–70 years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Typical paediatric age — median, and range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Median about 10 years; usual range 2–17 years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Urban vs rural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50% urban / 50% rural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New patients vs follow-ups, on a typical clinic day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70% new patients / 30% follow-ups</w:t>
            </w:r>
          </w:p>
        </w:tc>
      </w:tr>
    </w:tbl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2.  What brings them in</w:t>
      </w:r>
    </w:p>
    <w:p>
      <w:pPr>
        <w:keepNext/>
        <w:spacing w:after="140" w:before="0" w:line="264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Approximate share of the caseload by the main problem they attend for. A patient with both diabetes and hypothyroidism counts once, under whichever brought them in.</w:t>
      </w:r>
    </w:p>
    <w:tbl>
      <w:tblPr>
        <w:tblW w:type="dxa" w:w="996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Ind w:type="dxa" w:w="120"/>
      </w:tblPr>
      <w:tblGrid>
        <w:gridCol w:w="5478"/>
        <w:gridCol w:w="4482"/>
      </w:tblGrid>
      <w:tr>
        <w:trPr>
          <w:tblHeader w:val="true"/>
          <w:cantSplit/>
        </w:trPr>
        <w:tc>
          <w:tcPr>
            <w:tcW w:type="dxa" w:w="5478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8F0F0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b/>
                <w:color w:val="191919"/>
                <w:sz w:val="19"/>
              </w:rPr>
              <w:t>Presenting problem</w:t>
            </w:r>
          </w:p>
        </w:tc>
        <w:tc>
          <w:tcPr>
            <w:tcW w:type="dxa" w:w="448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8F0F0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b/>
                <w:color w:val="191919"/>
                <w:sz w:val="19"/>
              </w:rPr>
              <w:t>% of caseload</w:t>
            </w:r>
          </w:p>
        </w:tc>
      </w:tr>
      <w:tr>
        <w:trPr>
          <w:cantSplit/>
        </w:trPr>
        <w:tc>
          <w:tcPr>
            <w:tcW w:type="dxa" w:w="5478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Diabetes mellitus</w:t>
            </w:r>
          </w:p>
        </w:tc>
        <w:tc>
          <w:tcPr>
            <w:tcW w:type="dxa" w:w="448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21%</w:t>
            </w:r>
          </w:p>
        </w:tc>
      </w:tr>
      <w:tr>
        <w:trPr>
          <w:cantSplit/>
        </w:trPr>
        <w:tc>
          <w:tcPr>
            <w:tcW w:type="dxa" w:w="5478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Thyroid disorder</w:t>
            </w:r>
          </w:p>
        </w:tc>
        <w:tc>
          <w:tcPr>
            <w:tcW w:type="dxa" w:w="448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21%</w:t>
            </w:r>
          </w:p>
        </w:tc>
      </w:tr>
      <w:tr>
        <w:trPr>
          <w:cantSplit/>
        </w:trPr>
        <w:tc>
          <w:tcPr>
            <w:tcW w:type="dxa" w:w="5478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Obesity / metabolic syndrome</w:t>
            </w:r>
          </w:p>
        </w:tc>
        <w:tc>
          <w:tcPr>
            <w:tcW w:type="dxa" w:w="448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34%</w:t>
            </w:r>
          </w:p>
        </w:tc>
      </w:tr>
      <w:tr>
        <w:trPr>
          <w:cantSplit/>
        </w:trPr>
        <w:tc>
          <w:tcPr>
            <w:tcW w:type="dxa" w:w="5478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PCOS</w:t>
            </w:r>
          </w:p>
        </w:tc>
        <w:tc>
          <w:tcPr>
            <w:tcW w:type="dxa" w:w="448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7%</w:t>
            </w:r>
          </w:p>
        </w:tc>
      </w:tr>
      <w:tr>
        <w:trPr>
          <w:cantSplit/>
        </w:trPr>
        <w:tc>
          <w:tcPr>
            <w:tcW w:type="dxa" w:w="5478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Growth or pubertal concerns</w:t>
            </w:r>
          </w:p>
        </w:tc>
        <w:tc>
          <w:tcPr>
            <w:tcW w:type="dxa" w:w="448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3%</w:t>
            </w:r>
          </w:p>
        </w:tc>
      </w:tr>
      <w:tr>
        <w:trPr>
          <w:cantSplit/>
        </w:trPr>
        <w:tc>
          <w:tcPr>
            <w:tcW w:type="dxa" w:w="5478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Osteoporosis / calcium and vitamin D</w:t>
            </w:r>
          </w:p>
        </w:tc>
        <w:tc>
          <w:tcPr>
            <w:tcW w:type="dxa" w:w="448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3%</w:t>
            </w:r>
          </w:p>
        </w:tc>
      </w:tr>
      <w:tr>
        <w:trPr>
          <w:cantSplit/>
        </w:trPr>
        <w:tc>
          <w:tcPr>
            <w:tcW w:type="dxa" w:w="5478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Adrenal</w:t>
            </w:r>
          </w:p>
        </w:tc>
        <w:tc>
          <w:tcPr>
            <w:tcW w:type="dxa" w:w="448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1%</w:t>
            </w:r>
          </w:p>
        </w:tc>
      </w:tr>
      <w:tr>
        <w:trPr>
          <w:cantSplit/>
        </w:trPr>
        <w:tc>
          <w:tcPr>
            <w:tcW w:type="dxa" w:w="5478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Pituitary</w:t>
            </w:r>
          </w:p>
        </w:tc>
        <w:tc>
          <w:tcPr>
            <w:tcW w:type="dxa" w:w="448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3%</w:t>
            </w:r>
          </w:p>
        </w:tc>
      </w:tr>
      <w:tr>
        <w:trPr>
          <w:cantSplit/>
        </w:trPr>
        <w:tc>
          <w:tcPr>
            <w:tcW w:type="dxa" w:w="5478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Anything else you see regularly (please name)</w:t>
            </w:r>
          </w:p>
        </w:tc>
        <w:tc>
          <w:tcPr>
            <w:tcW w:type="dxa" w:w="448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Male sexual/reproductive endocrine concerns (erectile dysfunction, premature ejaculation or low libido) — 7%</w:t>
            </w:r>
          </w:p>
        </w:tc>
      </w:tr>
    </w:tbl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  Diabetes</w:t>
      </w:r>
    </w:p>
    <w:tbl>
      <w:tblPr>
        <w:tblW w:type="dxa" w:w="996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Ind w:type="dxa" w:w="120"/>
      </w:tblPr>
      <w:tblGrid>
        <w:gridCol w:w="4183"/>
        <w:gridCol w:w="5777"/>
      </w:tblGrid>
      <w:tr>
        <w:trPr>
          <w:tblHeader w:val="true"/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8F0F0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b/>
                <w:color w:val="191919"/>
                <w:sz w:val="19"/>
              </w:rPr>
              <w:t>Question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8F0F0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b/>
                <w:color w:val="191919"/>
                <w:sz w:val="19"/>
              </w:rPr>
              <w:t>Your answer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Type 2 — % of the diabetes caseload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89%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Type 1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2%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Gestational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8%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Other or secondary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1%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Typical age at diagnosis — type 2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Median about 40 years; usual range 25–65 years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Typical age at diagnosis — type 1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Median about 7 years; usual range 2–16 years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How long they have had it when first seen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About 20% are first diagnosed at this clinic; 30% are seen within 1 year of diagnosis; 50% have established diabetes, usually for 2–20 years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HbA1c at first presentation — median, and usual range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Median about 10.0%; usual range 7.5–14.0%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Already at target (&lt;7%) at the first visit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About 5%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At target after about a year of care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About 70% among those retained in care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Typical fall in HbA1c over the first six months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Usually 3–5 percentage points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Already have a complication when first seen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About 50% have at least one established microvascular or macrovascular complication</w:t>
            </w:r>
          </w:p>
        </w:tc>
      </w:tr>
    </w:tbl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4.  Thyroid</w:t>
      </w:r>
    </w:p>
    <w:tbl>
      <w:tblPr>
        <w:tblW w:type="dxa" w:w="996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Ind w:type="dxa" w:w="120"/>
      </w:tblPr>
      <w:tblGrid>
        <w:gridCol w:w="4183"/>
        <w:gridCol w:w="5777"/>
      </w:tblGrid>
      <w:tr>
        <w:trPr>
          <w:tblHeader w:val="true"/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8F0F0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b/>
                <w:color w:val="191919"/>
                <w:sz w:val="19"/>
              </w:rPr>
              <w:t>Question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8F0F0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b/>
                <w:color w:val="191919"/>
                <w:sz w:val="19"/>
              </w:rPr>
              <w:t>Your answer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Primary hypothyroidism — % of the thyroid caseload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68% (overt primary hypothyroidism)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Subclinical hypothyroidism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10%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Hyperthyroidism / Graves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10%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Euthyroid goitre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5%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Nodule under surveillance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1%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On replacement after surgery or radioiodine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5%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Thyroid cancer follow-up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1%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Women vs men in this group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80% women / 20% men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TSH at presentation, hypothyroid — median and range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Median about 25 mIU/L; usual range 10–100 mIU/L, with occasional values above 100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TSH at presentation, hyperthyroid — median and range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Median about 0.02 mIU/L; usual range from undetectable to 0.10 mIU/L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Usual levothyroxine starting dose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Usually 25–50 micrograms once daily; often 25 micrograms when cardiac disease, older age or long-standing severe hypothyroidism requires cautious initiation</w:t>
            </w:r>
          </w:p>
        </w:tc>
      </w:tr>
    </w:tbl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5.  Other conditions</w:t>
      </w:r>
    </w:p>
    <w:p>
      <w:pPr>
        <w:keepNext/>
        <w:spacing w:after="140" w:before="0" w:line="264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Only those you see often enough to matter. Skip the rest.</w:t>
      </w:r>
    </w:p>
    <w:tbl>
      <w:tblPr>
        <w:tblW w:type="dxa" w:w="996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Ind w:type="dxa" w:w="120"/>
      </w:tblPr>
      <w:tblGrid>
        <w:gridCol w:w="2789"/>
        <w:gridCol w:w="1992"/>
        <w:gridCol w:w="5179"/>
      </w:tblGrid>
      <w:tr>
        <w:trPr>
          <w:tblHeader w:val="true"/>
        </w:trPr>
        <w:tc>
          <w:tcPr>
            <w:tcW w:type="dxa" w:w="2789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8F0F0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b/>
                <w:color w:val="191919"/>
                <w:sz w:val="19"/>
              </w:rPr>
              <w:t>Condition</w:t>
            </w:r>
          </w:p>
        </w:tc>
        <w:tc>
          <w:tcPr>
            <w:tcW w:type="dxa" w:w="199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8F0F0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b/>
                <w:color w:val="191919"/>
                <w:sz w:val="19"/>
              </w:rPr>
              <w:t>% of caseload</w:t>
            </w:r>
          </w:p>
        </w:tc>
        <w:tc>
          <w:tcPr>
            <w:tcW w:type="dxa" w:w="5179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8F0F0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b/>
                <w:color w:val="191919"/>
                <w:sz w:val="19"/>
              </w:rPr>
              <w:t>Anything characteristic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PCOS</w:t>
            </w:r>
          </w:p>
        </w:tc>
        <w:tc>
          <w:tcPr>
            <w:tcW w:type="dxa" w:w="199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≈7% overall</w:t>
            </w:r>
          </w:p>
        </w:tc>
        <w:tc>
          <w:tcPr>
            <w:tcW w:type="dxa" w:w="5179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Mainly reproductive-age women; irregular cycles, hyperandrogenic features, obesity/metabolic risk and subfertility commonly coexist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Obesity (and typical BMI range)</w:t>
            </w:r>
          </w:p>
        </w:tc>
        <w:tc>
          <w:tcPr>
            <w:tcW w:type="dxa" w:w="199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≈50% overall; ≈34% as the main presenting problem</w:t>
            </w:r>
          </w:p>
        </w:tc>
        <w:tc>
          <w:tcPr>
            <w:tcW w:type="dxa" w:w="5179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BMI usually 24–50 kg/m²; many cluster around 28–38 kg/m² with metabolic syndrome, fatty liver or diabetes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Osteoporosis</w:t>
            </w:r>
          </w:p>
        </w:tc>
        <w:tc>
          <w:tcPr>
            <w:tcW w:type="dxa" w:w="199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≈3% overall; about half of the bone-health subgroup</w:t>
            </w:r>
          </w:p>
        </w:tc>
        <w:tc>
          <w:tcPr>
            <w:tcW w:type="dxa" w:w="5179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More often postmenopausal women or patients assessed for secondary causes; calcium/vitamin D problems commonly accompany evaluation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Short stature</w:t>
            </w:r>
          </w:p>
        </w:tc>
        <w:tc>
          <w:tcPr>
            <w:tcW w:type="dxa" w:w="199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≈2% overall; about 10% of the paediatric caseload</w:t>
            </w:r>
          </w:p>
        </w:tc>
        <w:tc>
          <w:tcPr>
            <w:tcW w:type="dxa" w:w="5179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Mostly school-age children and adolescents; growth velocity, parental height, puberty and endocrine causes require structured assessment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Other: sexual/reproductive endocrine disorders</w:t>
            </w:r>
          </w:p>
        </w:tc>
        <w:tc>
          <w:tcPr>
            <w:tcW w:type="dxa" w:w="199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≈7% overall</w:t>
            </w:r>
          </w:p>
        </w:tc>
        <w:tc>
          <w:tcPr>
            <w:tcW w:type="dxa" w:w="5179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Erectile dysfunction, premature ejaculation, low libido, hypogonadism and infertility; metabolic and thyroid comorbidity is common</w:t>
            </w:r>
          </w:p>
        </w:tc>
      </w:tr>
    </w:tbl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6.  What else these patients have</w:t>
      </w:r>
    </w:p>
    <w:p>
      <w:pPr>
        <w:keepNext/>
        <w:spacing w:after="140" w:before="0" w:line="264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So that an invented patient is not a diabetic with no other findings at all.</w:t>
      </w:r>
    </w:p>
    <w:tbl>
      <w:tblPr>
        <w:tblW w:type="dxa" w:w="996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Ind w:type="dxa" w:w="120"/>
      </w:tblPr>
      <w:tblGrid>
        <w:gridCol w:w="5478"/>
        <w:gridCol w:w="4482"/>
      </w:tblGrid>
      <w:tr>
        <w:trPr>
          <w:tblHeader w:val="true"/>
          <w:cantSplit/>
        </w:trPr>
        <w:tc>
          <w:tcPr>
            <w:tcW w:type="dxa" w:w="5478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8F0F0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b/>
                <w:color w:val="191919"/>
                <w:sz w:val="19"/>
              </w:rPr>
              <w:t>Comorbidity</w:t>
            </w:r>
          </w:p>
        </w:tc>
        <w:tc>
          <w:tcPr>
            <w:tcW w:type="dxa" w:w="448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8F0F0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b/>
                <w:color w:val="191919"/>
                <w:sz w:val="19"/>
              </w:rPr>
              <w:t>Approximate prevalence and denominator</w:t>
            </w:r>
          </w:p>
        </w:tc>
      </w:tr>
      <w:tr>
        <w:trPr>
          <w:cantSplit/>
        </w:trPr>
        <w:tc>
          <w:tcPr>
            <w:tcW w:type="dxa" w:w="5478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Hypertension</w:t>
            </w:r>
          </w:p>
        </w:tc>
        <w:tc>
          <w:tcPr>
            <w:tcW w:type="dxa" w:w="448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≈50% of adults with type 2 diabetes or metabolic disease</w:t>
            </w:r>
          </w:p>
        </w:tc>
      </w:tr>
      <w:tr>
        <w:trPr>
          <w:cantSplit/>
        </w:trPr>
        <w:tc>
          <w:tcPr>
            <w:tcW w:type="dxa" w:w="5478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Dyslipidaemia</w:t>
            </w:r>
          </w:p>
        </w:tc>
        <w:tc>
          <w:tcPr>
            <w:tcW w:type="dxa" w:w="448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≈80% of adults with type 2 diabetes or metabolic disease</w:t>
            </w:r>
          </w:p>
        </w:tc>
      </w:tr>
      <w:tr>
        <w:trPr>
          <w:cantSplit/>
        </w:trPr>
        <w:tc>
          <w:tcPr>
            <w:tcW w:type="dxa" w:w="5478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Diabetic retinopathy</w:t>
            </w:r>
          </w:p>
        </w:tc>
        <w:tc>
          <w:tcPr>
            <w:tcW w:type="dxa" w:w="448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≈30% of the diabetes caseload</w:t>
            </w:r>
          </w:p>
        </w:tc>
      </w:tr>
      <w:tr>
        <w:trPr>
          <w:cantSplit/>
        </w:trPr>
        <w:tc>
          <w:tcPr>
            <w:tcW w:type="dxa" w:w="5478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Diabetic neuropathy</w:t>
            </w:r>
          </w:p>
        </w:tc>
        <w:tc>
          <w:tcPr>
            <w:tcW w:type="dxa" w:w="448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≈50% of the diabetes caseload</w:t>
            </w:r>
          </w:p>
        </w:tc>
      </w:tr>
      <w:tr>
        <w:trPr>
          <w:cantSplit/>
        </w:trPr>
        <w:tc>
          <w:tcPr>
            <w:tcW w:type="dxa" w:w="5478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Diabetic nephropathy / CKD</w:t>
            </w:r>
          </w:p>
        </w:tc>
        <w:tc>
          <w:tcPr>
            <w:tcW w:type="dxa" w:w="448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≈20% of the diabetes caseload</w:t>
            </w:r>
          </w:p>
        </w:tc>
      </w:tr>
      <w:tr>
        <w:trPr>
          <w:cantSplit/>
        </w:trPr>
        <w:tc>
          <w:tcPr>
            <w:tcW w:type="dxa" w:w="5478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Diabetic foot</w:t>
            </w:r>
          </w:p>
        </w:tc>
        <w:tc>
          <w:tcPr>
            <w:tcW w:type="dxa" w:w="448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≈5% of the diabetes caseload</w:t>
            </w:r>
          </w:p>
        </w:tc>
      </w:tr>
      <w:tr>
        <w:trPr>
          <w:cantSplit/>
        </w:trPr>
        <w:tc>
          <w:tcPr>
            <w:tcW w:type="dxa" w:w="5478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Fatty liver</w:t>
            </w:r>
          </w:p>
        </w:tc>
        <w:tc>
          <w:tcPr>
            <w:tcW w:type="dxa" w:w="448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≈50% of patients with type 2 diabetes, obesity or metabolic syndrome</w:t>
            </w:r>
          </w:p>
        </w:tc>
      </w:tr>
      <w:tr>
        <w:trPr>
          <w:cantSplit/>
        </w:trPr>
        <w:tc>
          <w:tcPr>
            <w:tcW w:type="dxa" w:w="5478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Ischaemic heart disease</w:t>
            </w:r>
          </w:p>
        </w:tc>
        <w:tc>
          <w:tcPr>
            <w:tcW w:type="dxa" w:w="448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≈20% of the type 2 diabetes caseload</w:t>
            </w:r>
          </w:p>
        </w:tc>
      </w:tr>
      <w:tr>
        <w:trPr>
          <w:cantSplit/>
        </w:trPr>
        <w:tc>
          <w:tcPr>
            <w:tcW w:type="dxa" w:w="5478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Both diabetes AND thyroid disease</w:t>
            </w:r>
          </w:p>
        </w:tc>
        <w:tc>
          <w:tcPr>
            <w:tcW w:type="dxa" w:w="448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≈20% of the total clinic caseload</w:t>
            </w:r>
          </w:p>
        </w:tc>
      </w:tr>
    </w:tbl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7.  What you prescribe</w:t>
      </w:r>
    </w:p>
    <w:p>
      <w:pPr>
        <w:keepNext/>
        <w:spacing w:after="140" w:before="0" w:line="264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Drug names and typical doses, as you would actually write them.</w:t>
      </w:r>
    </w:p>
    <w:tbl>
      <w:tblPr>
        <w:tblW w:type="dxa" w:w="996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Ind w:type="dxa" w:w="120"/>
      </w:tblPr>
      <w:tblGrid>
        <w:gridCol w:w="4183"/>
        <w:gridCol w:w="5777"/>
      </w:tblGrid>
      <w:tr>
        <w:trPr>
          <w:tblHeader w:val="true"/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8F0F0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b/>
                <w:color w:val="191919"/>
                <w:sz w:val="19"/>
              </w:rPr>
              <w:t>Question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8F0F0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b/>
                <w:color w:val="191919"/>
                <w:sz w:val="19"/>
              </w:rPr>
              <w:t>Your answer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First line, newly diagnosed type 2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Metformin 500 mg once or twice daily with food, titrated as tolerated toward 1,500–2,000 mg/day. Because many present with HbA1c around 10%, early combination therapy is common; empagliflozin 10 mg once daily is added when clinically appropriate, with linagliptin 5 mg once daily used selectively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Most common two-drug combination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Empagliflozin 10 mg + linagliptin 5 mg once daily, commonly as a fixed-dose combination; metformin is often continued separately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Most common three-drug combination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Metformin (usually 1,500–2,000 mg/day as tolerated) + empagliflozin 10 mg once daily + linagliptin 5 mg once daily; supplied as separate or locally available combination tablets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Type 2 patients on insulin (%)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≈30%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Usual insulin regimen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Basal insulin, usually glargine; human premixed 30/70 insulin is also common. In pregnancy, a split-mixed human insulin regimen is often used and individualized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SGLT2 inhibitor use — % of type 2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≈80%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GLP-1 receptor agonist use — % of type 2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≈50%, particularly when obesity or weight management is a major indication and access permits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DPP-4 inhibitor use — % of type 2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≈60%; mainly linagliptin 5 mg in combination regimens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Sulfonylurea use — % of type 2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≈10%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Usual statin and dose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Rosuvastatin 5–10 mg once daily or atorvastatin 10–20 mg once daily; intensity is increased when ASCVD or overall cardiovascular risk requires it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Anything commonly prescribed here that a European or American guideline would not predict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No major systematic deviation. Practice generally follows ADA and other international guidance, with adaptation for affordability, medicine availability, renal function, pregnancy and patient preference</w:t>
            </w:r>
          </w:p>
        </w:tc>
      </w:tr>
    </w:tbl>
    <w:p>
      <w:pPr>
        <w:spacing w:after="120" w:before="12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That last row is genuinely useful. </w:t>
      </w:r>
      <w:r>
        <w:rPr>
          <w:rFonts w:ascii="Calibri" w:cs="Calibri" w:eastAsia="Calibri" w:hAnsi="Calibri"/>
          <w:color w:val="5A5A5A"/>
          <w:sz w:val="20"/>
          <w:szCs w:val="20"/>
        </w:rPr>
        <w:t xml:space="preserve">Prescribing shaped by local availability, cost or patient preference is exactly what published figures miss.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8.  Follow-up</w:t>
      </w:r>
    </w:p>
    <w:tbl>
      <w:tblPr>
        <w:tblW w:type="dxa" w:w="996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Ind w:type="dxa" w:w="120"/>
      </w:tblPr>
      <w:tblGrid>
        <w:gridCol w:w="4183"/>
        <w:gridCol w:w="5777"/>
      </w:tblGrid>
      <w:tr>
        <w:trPr>
          <w:tblHeader w:val="true"/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8F0F0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b/>
                <w:color w:val="191919"/>
                <w:sz w:val="19"/>
              </w:rPr>
              <w:t>Question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8F0F0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b/>
                <w:color w:val="191919"/>
                <w:sz w:val="19"/>
              </w:rPr>
              <w:t>Your answer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Routine review interval, stable patient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Every 3 months for about 50%; every 6 months for 25%; annually for 25%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Review interval, poorly controlled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Monthly for about 80%; every 2–3 months for the remainder, depending on severity and treatment changes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Do not return within a year (%)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About 10%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Typical number of visits in a patient’s first year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Typically 4 visits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Investigations ordered at a routine review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At appropriate intervals: fasting plasma glucose, 2-hour post-breakfast/postprandial glucose, HbA1c, serum creatinine/eGFR, urine albumin-to-creatinine ratio, urinalysis (RME), ALT and lipid profile; disease-specific tests such as TSH/free T4 are added when relevant</w:t>
            </w:r>
          </w:p>
        </w:tc>
      </w:tr>
    </w:tbl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9.  Names and language</w:t>
      </w:r>
    </w:p>
    <w:p>
      <w:pPr>
        <w:keepNext/>
        <w:spacing w:after="140" w:before="0" w:line="264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The system generates names in both Bangla and English scripts.</w:t>
      </w:r>
    </w:p>
    <w:tbl>
      <w:tblPr>
        <w:tblW w:type="dxa" w:w="996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Ind w:type="dxa" w:w="120"/>
      </w:tblPr>
      <w:tblGrid>
        <w:gridCol w:w="4183"/>
        <w:gridCol w:w="5777"/>
      </w:tblGrid>
      <w:tr>
        <w:trPr>
          <w:tblHeader w:val="true"/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8F0F0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b/>
                <w:color w:val="191919"/>
                <w:sz w:val="19"/>
              </w:rPr>
              <w:t>Question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8F0F0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b/>
                <w:color w:val="191919"/>
                <w:sz w:val="19"/>
              </w:rPr>
              <w:t>Your answer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Approximate mix of Muslim / Hindu / other names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center"/>
            </w:pPr>
            <w:r>
              <w:rPr>
                <w:rFonts w:ascii="Arial" w:hAnsi="Arial"/>
                <w:color w:val="1C2F2D"/>
                <w:sz w:val="18"/>
              </w:rPr>
              <w:t>70% Muslim / 27% Hindu / 3% other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Patients whose record would be kept in Bangla rather than English (%)</w:t>
            </w:r>
          </w:p>
        </w:tc>
        <w:tc>
          <w:tcPr>
            <w:tcW w:type="dxa" w:w="5777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About 95% would use Bangla for administrative and narrative text; nearly 100% prefer diagnoses, investigations, medicines and other medical terms in English</w:t>
            </w:r>
          </w:p>
        </w:tc>
      </w:tr>
    </w:tbl>
    <w:p>
      <w:pPr>
        <w:pStyle w:val="Heading2"/>
        <w:keepNext/>
        <w:pageBreakBefore/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Anything we have not asked</w:t>
      </w:r>
    </w:p>
    <w:p>
      <w:pPr>
        <w:spacing w:after="100" w:before="0" w:line="264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If something here would strike a colleague as obviously wrong were it missing from a set of invented records, please say so — it is likely the most valuable answer on the page.</w:t>
      </w:r>
    </w:p>
    <w:tbl>
      <w:tblPr>
        <w:tblW w:type="dxa" w:w="996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Ind w:type="dxa" w:w="120"/>
      </w:tblPr>
      <w:tblGrid>
        <w:gridCol w:w="9960"/>
      </w:tblGrid>
      <w:tr>
        <w:trPr>
          <w:trHeight w:hRule="atLeast"/>
          <w:cantSplit/>
        </w:trPr>
        <w:tc>
          <w:tcPr>
            <w:tcW w:type="dxa" w:w="996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  <w:shd w:fill="F1F8F7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DTHC is a small but research-oriented clinic aiming for international-standard diabetes, obesity and metabolic care in Faridpur. Synthetic records should model care processes as well as diagnoses: diet, exercise and weight counselling; adherence and affordability; injection technique; sick-day, fasting and hypoglycaemia education; foot care; complication screening; pregnancy and preconception status; mental health; referrals; and proactive team follow-up for chronic disease. The generator should preserve realistic relationships among age, sex, diagnosis, laboratory values, medicines and contraindications; include dose changes driven by eGFR, pregnancy, hepatic status and hypoglycaemia risk; create plausible longitudinal response to treatment; and retain realistic missingness, delayed tests, missed visits and loss to follow-up. Records must remain wholly synthetic and must never reproduce real patient data.</w:t>
            </w:r>
          </w:p>
        </w:tc>
      </w:tr>
      <w:tr>
        <w:trPr>
          <w:trHeight w:hRule="atLeast"/>
          <w:cantSplit/>
        </w:trPr>
        <w:tc>
          <w:tcPr>
            <w:tcW w:type="dxa" w:w="996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  <w:shd w:fill="F1F8F7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Important software test cases: severe hyperglycaemia; hypoglycaemia; pregnancy; paediatric growth and puberty; CKD-related medication limits; thyroid extremes; insulin initiation and titration; treatment intolerance; polypharmacy; and conflicting or missing laboratory data.</w:t>
            </w:r>
          </w:p>
        </w:tc>
      </w:tr>
      <w:tr>
        <w:trPr>
          <w:trHeight w:hRule="atLeast"/>
          <w:cantSplit/>
        </w:trPr>
        <w:tc>
          <w:tcPr>
            <w:tcW w:type="dxa" w:w="996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  <w:shd w:fill="F1F8F7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These percentages are synthetic-data priors, not epidemiological estimates. The software should permit later recalibration when prospective, consented and properly governed aggregate clinic data become available.</w:t>
            </w:r>
          </w:p>
        </w:tc>
      </w:tr>
    </w:tbl>
    <w:p>
      <w:pPr>
        <w:keepNext/>
        <w:spacing w:after="40" w:before="200"/>
      </w:pPr>
      <w:r>
        <w:t xml:space="preserve"/>
      </w:r>
    </w:p>
    <w:tbl>
      <w:tblPr>
        <w:tblW w:type="dxa" w:w="996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Ind w:type="dxa" w:w="120"/>
      </w:tblPr>
      <w:tblGrid>
        <w:gridCol w:w="2390"/>
        <w:gridCol w:w="7570"/>
      </w:tblGrid>
      <w:tr>
        <w:trPr>
          <w:cantSplit/>
        </w:trPr>
        <w:tc>
          <w:tcPr>
            <w:tcW w:type="dxa" w:w="239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Completed by</w:t>
            </w:r>
          </w:p>
        </w:tc>
        <w:tc>
          <w:tcPr>
            <w:tcW w:type="dxa" w:w="757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b/>
                <w:color w:val="1F6F68"/>
                <w:sz w:val="18"/>
              </w:rPr>
              <w:t>Electronically signed</w:t>
              <w:br/>
              <w:t>/s/ Dr. K. M. Nahid-Ul-Haque</w:t>
              <w:br/>
              <w:t>MBBS (MMC); Diploma in Endocrinology (BIRDEM)</w:t>
              <w:br/>
              <w:t>Diabetes, Thyroid &amp; Hormone Care (DTHC), Faridpur</w:t>
            </w:r>
          </w:p>
        </w:tc>
      </w:tr>
      <w:tr>
        <w:trPr>
          <w:cantSplit/>
        </w:trPr>
        <w:tc>
          <w:tcPr>
            <w:tcW w:type="dxa" w:w="239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91919"/>
                <w:sz w:val="19"/>
              </w:rPr>
              <w:t>Date</w:t>
            </w:r>
          </w:p>
        </w:tc>
        <w:tc>
          <w:tcPr>
            <w:tcW w:type="dxa" w:w="757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1F8F7" w:color="auto" w:val="clear"/>
            <w:tcMar>
              <w:top w:type="dxa" w:w="75"/>
              <w:left w:type="dxa" w:w="110"/>
              <w:bottom w:type="dxa" w:w="75"/>
              <w:right w:type="dxa" w:w="110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30" w:line="250" w:lineRule="auto"/>
              <w:jc w:val="left"/>
            </w:pPr>
            <w:r>
              <w:rPr>
                <w:rFonts w:ascii="Arial" w:hAnsi="Arial"/>
                <w:color w:val="1C2F2D"/>
                <w:sz w:val="18"/>
              </w:rPr>
              <w:t>27 August 2026</w:t>
            </w:r>
          </w:p>
        </w:tc>
      </w:tr>
    </w:tbl>
    <w:p>
      <w:pPr>
        <w:spacing w:after="60" w:before="220" w:line="264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Thank you. These figures shape the test data for the whole system, and there is no way to get them right without a clinician.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Endocrine clinic caseload — completed clinician questionnaire</dc:title>
  <dc:creator>Dr. K. M. Nahid-Ul-Haque</dc:creator>
  <dc:description>Approximate clinician estimates; no patient-level data used.</dc:description>
  <cp:lastModifiedBy>Un-named</cp:lastModifiedBy>
  <cp:revision>1</cp:revision>
  <dcterms:created xsi:type="dcterms:W3CDTF">2026-08-25T07:09:22.980Z</dcterms:created>
  <dcterms:modified xsi:type="dcterms:W3CDTF">2026-08-25T07:09:22.980Z</dcterms:modified>
  <dc:subject>Normalized clinic-level estimates for synthetic test data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