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365D"/>
          <w:sz w:val="48"/>
          <w:szCs w:val="48"/>
        </w:rPr>
        <w:t xml:space="preserve">Admission Note Builder</w:t>
      </w:r>
    </w:p>
    <w:p>
      <w:pPr>
        <w:spacing w:after="400"/>
        <w:jc w:val="center"/>
      </w:pPr>
      <w:r>
        <w:rPr>
          <w:rFonts w:ascii="Arial" w:cs="Arial" w:eastAsia="Arial" w:hAnsi="Arial"/>
          <w:color w:val="666666"/>
          <w:sz w:val="28"/>
          <w:szCs w:val="28"/>
        </w:rPr>
        <w:t xml:space="preserve">Project Analysis &amp;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il"/>
              <w:left w:val="nil"/>
              <w:bottom w:val="nil"/>
              <w:right w:val="nil"/>
            </w:tcBorders>
          </w:tcPr>
          <w:p>
            <w:r>
              <w:rPr>
                <w:rFonts w:ascii="Arial" w:cs="Arial" w:eastAsia="Arial" w:hAnsi="Arial"/>
                <w:b/>
                <w:bCs/>
                <w:sz w:val="22"/>
                <w:szCs w:val="22"/>
              </w:rPr>
              <w:t xml:space="preserve">Project:</w:t>
            </w:r>
          </w:p>
        </w:tc>
        <w:tc>
          <w:tcPr>
            <w:tcW w:type="dxa" w:w="6860"/>
            <w:tcBorders>
              <w:top w:val="nil"/>
              <w:left w:val="nil"/>
              <w:bottom w:val="nil"/>
              <w:right w:val="nil"/>
            </w:tcBorders>
          </w:tcPr>
          <w:p>
            <w:r>
              <w:rPr>
                <w:rFonts w:ascii="Arial" w:cs="Arial" w:eastAsia="Arial" w:hAnsi="Arial"/>
                <w:sz w:val="22"/>
                <w:szCs w:val="22"/>
              </w:rPr>
              <w:t xml:space="preserve">AI-Powered Admission Note Builder for NTUH EMR</w:t>
            </w:r>
          </w:p>
        </w:tc>
      </w:tr>
      <w:tr>
        <w:tc>
          <w:tcPr>
            <w:tcW w:type="dxa" w:w="2500"/>
            <w:tcBorders>
              <w:top w:val="nil"/>
              <w:left w:val="nil"/>
              <w:bottom w:val="nil"/>
              <w:right w:val="nil"/>
            </w:tcBorders>
          </w:tcPr>
          <w:p>
            <w:r>
              <w:rPr>
                <w:rFonts w:ascii="Arial" w:cs="Arial" w:eastAsia="Arial" w:hAnsi="Arial"/>
                <w:b/>
                <w:bCs/>
                <w:sz w:val="22"/>
                <w:szCs w:val="22"/>
              </w:rPr>
              <w:t xml:space="preserve">Version:</w:t>
            </w:r>
          </w:p>
        </w:tc>
        <w:tc>
          <w:tcPr>
            <w:tcW w:type="dxa" w:w="6860"/>
            <w:tcBorders>
              <w:top w:val="nil"/>
              <w:left w:val="nil"/>
              <w:bottom w:val="nil"/>
              <w:right w:val="nil"/>
            </w:tcBorders>
          </w:tcPr>
          <w:p>
            <w:r>
              <w:rPr>
                <w:rFonts w:ascii="Arial" w:cs="Arial" w:eastAsia="Arial" w:hAnsi="Arial"/>
                <w:sz w:val="22"/>
                <w:szCs w:val="22"/>
              </w:rPr>
              <w:t xml:space="preserve">2.0.0</w:t>
            </w:r>
          </w:p>
        </w:tc>
      </w:tr>
      <w:tr>
        <w:tc>
          <w:tcPr>
            <w:tcW w:type="dxa" w:w="2500"/>
            <w:tcBorders>
              <w:top w:val="nil"/>
              <w:left w:val="nil"/>
              <w:bottom w:val="nil"/>
              <w:right w:val="nil"/>
            </w:tcBorders>
          </w:tcPr>
          <w:p>
            <w:r>
              <w:rPr>
                <w:rFonts w:ascii="Arial" w:cs="Arial" w:eastAsia="Arial" w:hAnsi="Arial"/>
                <w:b/>
                <w:bCs/>
                <w:sz w:val="22"/>
                <w:szCs w:val="22"/>
              </w:rPr>
              <w:t xml:space="preserve">Primary Tech:</w:t>
            </w:r>
          </w:p>
        </w:tc>
        <w:tc>
          <w:tcPr>
            <w:tcW w:type="dxa" w:w="6860"/>
            <w:tcBorders>
              <w:top w:val="nil"/>
              <w:left w:val="nil"/>
              <w:bottom w:val="nil"/>
              <w:right w:val="nil"/>
            </w:tcBorders>
          </w:tcPr>
          <w:p>
            <w:r>
              <w:rPr>
                <w:rFonts w:ascii="Arial" w:cs="Arial" w:eastAsia="Arial" w:hAnsi="Arial"/>
                <w:sz w:val="22"/>
                <w:szCs w:val="22"/>
              </w:rPr>
              <w:t xml:space="preserve">Vanilla JavaScript (ES Modules), Google Gemini API</w:t>
            </w:r>
          </w:p>
        </w:tc>
      </w:tr>
      <w:tr>
        <w:tc>
          <w:tcPr>
            <w:tcW w:type="dxa" w:w="2500"/>
            <w:tcBorders>
              <w:top w:val="nil"/>
              <w:left w:val="nil"/>
              <w:bottom w:val="nil"/>
              <w:right w:val="nil"/>
            </w:tcBorders>
          </w:tcPr>
          <w:p>
            <w:r>
              <w:rPr>
                <w:rFonts w:ascii="Arial" w:cs="Arial" w:eastAsia="Arial" w:hAnsi="Arial"/>
                <w:b/>
                <w:bCs/>
                <w:sz w:val="22"/>
                <w:szCs w:val="22"/>
              </w:rPr>
              <w:t xml:space="preserve">Architecture:</w:t>
            </w:r>
          </w:p>
        </w:tc>
        <w:tc>
          <w:tcPr>
            <w:tcW w:type="dxa" w:w="6860"/>
            <w:tcBorders>
              <w:top w:val="nil"/>
              <w:left w:val="nil"/>
              <w:bottom w:val="nil"/>
              <w:right w:val="nil"/>
            </w:tcBorders>
          </w:tcPr>
          <w:p>
            <w:r>
              <w:rPr>
                <w:rFonts w:ascii="Arial" w:cs="Arial" w:eastAsia="Arial" w:hAnsi="Arial"/>
                <w:sz w:val="22"/>
                <w:szCs w:val="22"/>
              </w:rPr>
              <w:t xml:space="preserve">Client-side only, single-page application</w:t>
            </w:r>
          </w:p>
        </w:tc>
      </w:tr>
      <w:tr>
        <w:tc>
          <w:tcPr>
            <w:tcW w:type="dxa" w:w="2500"/>
            <w:tcBorders>
              <w:top w:val="nil"/>
              <w:left w:val="nil"/>
              <w:bottom w:val="nil"/>
              <w:right w:val="nil"/>
            </w:tcBorders>
          </w:tcPr>
          <w:p>
            <w:r>
              <w:rPr>
                <w:rFonts w:ascii="Arial" w:cs="Arial" w:eastAsia="Arial" w:hAnsi="Arial"/>
                <w:b/>
                <w:bCs/>
                <w:sz w:val="22"/>
                <w:szCs w:val="22"/>
              </w:rPr>
              <w:t xml:space="preserve">Date:</w:t>
            </w:r>
          </w:p>
        </w:tc>
        <w:tc>
          <w:tcPr>
            <w:tcW w:type="dxa" w:w="6860"/>
            <w:tcBorders>
              <w:top w:val="nil"/>
              <w:left w:val="nil"/>
              <w:bottom w:val="nil"/>
              <w:right w:val="nil"/>
            </w:tcBorders>
          </w:tcPr>
          <w:p>
            <w:r>
              <w:rPr>
                <w:rFonts w:ascii="Arial" w:cs="Arial" w:eastAsia="Arial" w:hAnsi="Arial"/>
                <w:sz w:val="22"/>
                <w:szCs w:val="22"/>
              </w:rPr>
              <w:t xml:space="preserve">January 20, 2026</w:t>
            </w:r>
          </w:p>
        </w:tc>
      </w:tr>
    </w:tbl>
    <w:p>
      <w:pPr>
        <w:spacing w:before="400" w:after="200"/>
      </w:pPr>
      <w:r>
        <w:rPr>
          <w:rFonts w:ascii="Arial" w:cs="Arial" w:eastAsia="Arial" w:hAnsi="Arial"/>
          <w:b/>
          <w:bCs/>
          <w:color w:val="1A365D"/>
          <w:sz w:val="28"/>
          <w:szCs w:val="28"/>
        </w:rPr>
        <w:t xml:space="preserve">Project Summary</w:t>
      </w:r>
    </w:p>
    <w:p>
      <w:pPr>
        <w:spacing w:after="150"/>
      </w:pPr>
      <w:r>
        <w:rPr>
          <w:rFonts w:ascii="Arial" w:cs="Arial" w:eastAsia="Arial" w:hAnsi="Arial"/>
          <w:sz w:val="22"/>
          <w:szCs w:val="22"/>
        </w:rPr>
        <w:t xml:space="preserve">The Admission Note Builder is an AI-powered clinical documentation tool designed specifically for National Taiwan University Hospital (NTUH). It uses Google Gemini to parse unstructured clinical notes into structured admission form fields, supporting both voice input (Chinese and English) and image uploads for handwritten notes.</w:t>
      </w:r>
    </w:p>
    <w:p>
      <w:pPr>
        <w:spacing w:after="150"/>
      </w:pPr>
      <w:r>
        <w:rPr>
          <w:rFonts w:ascii="Arial" w:cs="Arial" w:eastAsia="Arial" w:hAnsi="Arial"/>
          <w:sz w:val="22"/>
          <w:szCs w:val="22"/>
        </w:rPr>
        <w:t xml:space="preserve">The application is well-architected with a modular JavaScript structure, comprehensive error handling, and offline-capable design. It runs entirely client-side with no backend dependencies.</w:t>
      </w:r>
    </w:p>
    <w:p>
      <w:pPr>
        <w:spacing w:before="400" w:after="200"/>
      </w:pPr>
      <w:r>
        <w:rPr>
          <w:rFonts w:ascii="Arial" w:cs="Arial" w:eastAsia="Arial" w:hAnsi="Arial"/>
          <w:b/>
          <w:bCs/>
          <w:color w:val="1A365D"/>
          <w:sz w:val="28"/>
          <w:szCs w:val="28"/>
        </w:rPr>
        <w:t xml:space="preserve">Current File Structure (Post-Cleanup)</w:t>
      </w:r>
    </w:p>
    <w:p>
      <w:pPr>
        <w:spacing w:after="150"/>
      </w:pPr>
      <w:r>
        <w:rPr>
          <w:rFonts w:ascii="Arial" w:cs="Arial" w:eastAsia="Arial" w:hAnsi="Arial"/>
          <w:sz w:val="22"/>
          <w:szCs w:val="22"/>
        </w:rPr>
        <w:t xml:space="preserve">The following files and directories were analyzed:</w:t>
      </w:r>
    </w:p>
    <w:p>
      <w:pPr>
        <w:pStyle w:val="ListParagraph"/>
        <w:numPr>
          <w:ilvl w:val="0"/>
          <w:numId w:val="2"/>
        </w:numPr>
        <w:spacing w:after="80"/>
      </w:pPr>
      <w:r>
        <w:rPr>
          <w:rFonts w:ascii="Arial" w:cs="Arial" w:eastAsia="Arial" w:hAnsi="Arial"/>
          <w:sz w:val="22"/>
          <w:szCs w:val="22"/>
        </w:rPr>
        <w:t xml:space="preserve">index.html - Main application entry point (77KB, modular version)</w:t>
      </w:r>
    </w:p>
    <w:p>
      <w:pPr>
        <w:pStyle w:val="ListParagraph"/>
        <w:numPr>
          <w:ilvl w:val="0"/>
          <w:numId w:val="2"/>
        </w:numPr>
        <w:spacing w:after="80"/>
      </w:pPr>
      <w:r>
        <w:rPr>
          <w:rFonts w:ascii="Arial" w:cs="Arial" w:eastAsia="Arial" w:hAnsi="Arial"/>
          <w:sz w:val="22"/>
          <w:szCs w:val="22"/>
        </w:rPr>
        <w:t xml:space="preserve">Admission_AI_POC.html - Original proof-of-concept (84KB, standalone)</w:t>
      </w:r>
    </w:p>
    <w:p>
      <w:pPr>
        <w:pStyle w:val="ListParagraph"/>
        <w:numPr>
          <w:ilvl w:val="0"/>
          <w:numId w:val="2"/>
        </w:numPr>
        <w:spacing w:after="80"/>
      </w:pPr>
      <w:r>
        <w:rPr>
          <w:rFonts w:ascii="Arial" w:cs="Arial" w:eastAsia="Arial" w:hAnsi="Arial"/>
          <w:sz w:val="22"/>
          <w:szCs w:val="22"/>
        </w:rPr>
        <w:t xml:space="preserve">css/main.css - All application styles (21KB)</w:t>
      </w:r>
    </w:p>
    <w:p>
      <w:pPr>
        <w:pStyle w:val="ListParagraph"/>
        <w:numPr>
          <w:ilvl w:val="0"/>
          <w:numId w:val="2"/>
        </w:numPr>
        <w:spacing w:after="80"/>
      </w:pPr>
      <w:r>
        <w:rPr>
          <w:rFonts w:ascii="Arial" w:cs="Arial" w:eastAsia="Arial" w:hAnsi="Arial"/>
          <w:sz w:val="22"/>
          <w:szCs w:val="22"/>
        </w:rPr>
        <w:t xml:space="preserve">js/ - JavaScript modules (10 files, ~70KB total)</w:t>
      </w:r>
    </w:p>
    <w:p>
      <w:pPr>
        <w:pStyle w:val="ListParagraph"/>
        <w:numPr>
          <w:ilvl w:val="0"/>
          <w:numId w:val="2"/>
        </w:numPr>
        <w:spacing w:after="80"/>
      </w:pPr>
      <w:r>
        <w:rPr>
          <w:rFonts w:ascii="Arial" w:cs="Arial" w:eastAsia="Arial" w:hAnsi="Arial"/>
          <w:sz w:val="22"/>
          <w:szCs w:val="22"/>
        </w:rPr>
        <w:t xml:space="preserve">tests/ - Browser-based test suite (4 files)</w:t>
      </w:r>
    </w:p>
    <w:p>
      <w:pPr>
        <w:pStyle w:val="ListParagraph"/>
        <w:numPr>
          <w:ilvl w:val="0"/>
          <w:numId w:val="2"/>
        </w:numPr>
        <w:spacing w:after="80"/>
      </w:pPr>
      <w:r>
        <w:rPr>
          <w:rFonts w:ascii="Arial" w:cs="Arial" w:eastAsia="Arial" w:hAnsi="Arial"/>
          <w:sz w:val="22"/>
          <w:szCs w:val="22"/>
        </w:rPr>
        <w:t xml:space="preserve">Archived/ - Legacy versions and documentation PDF</w:t>
      </w:r>
    </w:p>
    <w:p>
      <w:pPr>
        <w:spacing w:before="400" w:after="200"/>
      </w:pPr>
      <w:r>
        <w:rPr>
          <w:rFonts w:ascii="Arial" w:cs="Arial" w:eastAsia="Arial" w:hAnsi="Arial"/>
          <w:b/>
          <w:bCs/>
          <w:color w:val="1A365D"/>
          <w:sz w:val="28"/>
          <w:szCs w:val="28"/>
        </w:rPr>
        <w:t xml:space="preserve">Files Cleaned Up</w:t>
      </w:r>
    </w:p>
    <w:p>
      <w:pPr>
        <w:spacing w:after="150"/>
      </w:pPr>
      <w:r>
        <w:rPr>
          <w:rFonts w:ascii="Arial" w:cs="Arial" w:eastAsia="Arial" w:hAnsi="Arial"/>
          <w:sz w:val="22"/>
          <w:szCs w:val="22"/>
        </w:rPr>
        <w:t xml:space="preserve">The following unnecessary files were removed:</w:t>
      </w:r>
    </w:p>
    <w:p>
      <w:pPr>
        <w:pStyle w:val="ListParagraph"/>
        <w:numPr>
          <w:ilvl w:val="0"/>
          <w:numId w:val="2"/>
        </w:numPr>
        <w:spacing w:after="80"/>
      </w:pPr>
      <w:r>
        <w:rPr>
          <w:rFonts w:ascii="Arial" w:cs="Arial" w:eastAsia="Arial" w:hAnsi="Arial"/>
          <w:sz w:val="22"/>
          <w:szCs w:val="22"/>
        </w:rPr>
        <w:t xml:space="preserve">.DS_Store files - macOS metadata (root and Archived/)</w:t>
      </w:r>
    </w:p>
    <w:p>
      <w:pPr>
        <w:pStyle w:val="ListParagraph"/>
        <w:numPr>
          <w:ilvl w:val="0"/>
          <w:numId w:val="2"/>
        </w:numPr>
        <w:spacing w:after="80"/>
      </w:pPr>
      <w:r>
        <w:rPr>
          <w:rFonts w:ascii="Arial" w:cs="Arial" w:eastAsia="Arial" w:hAnsi="Arial"/>
          <w:sz w:val="22"/>
          <w:szCs w:val="22"/>
        </w:rPr>
        <w:t xml:space="preserve">.idea/ directory - JetBrains IDE configuration (7 files)</w:t>
      </w:r>
    </w:p>
    <w:p>
      <w:pPr>
        <w:spacing w:after="150"/>
      </w:pPr>
      <w:r>
        <w:rPr>
          <w:rFonts w:ascii="Arial" w:cs="Arial" w:eastAsia="Arial" w:hAnsi="Arial"/>
          <w:sz w:val="22"/>
          <w:szCs w:val="22"/>
        </w:rPr>
        <w:t xml:space="preserve">These files were already in .gitignore but had been committed. They add no value to the repository and can cause merge conflicts.</w:t>
      </w:r>
    </w:p>
    <w:p>
      <w:r>
        <w:br w:type="page"/>
      </w:r>
    </w:p>
    <w:p>
      <w:pPr>
        <w:spacing w:before="400" w:after="200"/>
      </w:pPr>
      <w:r>
        <w:rPr>
          <w:rFonts w:ascii="Arial" w:cs="Arial" w:eastAsia="Arial" w:hAnsi="Arial"/>
          <w:b/>
          <w:bCs/>
          <w:color w:val="1A365D"/>
          <w:sz w:val="28"/>
          <w:szCs w:val="28"/>
        </w:rPr>
        <w:t xml:space="preserve">Architecture Strengths</w:t>
      </w:r>
    </w:p>
    <w:p>
      <w:pPr>
        <w:pStyle w:val="ListParagraph"/>
        <w:numPr>
          <w:ilvl w:val="0"/>
          <w:numId w:val="3"/>
        </w:numPr>
        <w:spacing w:after="100"/>
      </w:pPr>
      <w:r>
        <w:rPr>
          <w:rFonts w:ascii="Arial" w:cs="Arial" w:eastAsia="Arial" w:hAnsi="Arial"/>
          <w:sz w:val="22"/>
          <w:szCs w:val="22"/>
        </w:rPr>
        <w:t xml:space="preserve">Well-organized ES Module structure with clear separation of concerns</w:t>
      </w:r>
    </w:p>
    <w:p>
      <w:pPr>
        <w:pStyle w:val="ListParagraph"/>
        <w:numPr>
          <w:ilvl w:val="0"/>
          <w:numId w:val="3"/>
        </w:numPr>
        <w:spacing w:after="100"/>
      </w:pPr>
      <w:r>
        <w:rPr>
          <w:rFonts w:ascii="Arial" w:cs="Arial" w:eastAsia="Arial" w:hAnsi="Arial"/>
          <w:sz w:val="22"/>
          <w:szCs w:val="22"/>
        </w:rPr>
        <w:t xml:space="preserve">Comprehensive error handling with custom error classes and retry logic</w:t>
      </w:r>
    </w:p>
    <w:p>
      <w:pPr>
        <w:pStyle w:val="ListParagraph"/>
        <w:numPr>
          <w:ilvl w:val="0"/>
          <w:numId w:val="3"/>
        </w:numPr>
        <w:spacing w:after="100"/>
      </w:pPr>
      <w:r>
        <w:rPr>
          <w:rFonts w:ascii="Arial" w:cs="Arial" w:eastAsia="Arial" w:hAnsi="Arial"/>
          <w:sz w:val="22"/>
          <w:szCs w:val="22"/>
        </w:rPr>
        <w:t xml:space="preserve">Centralized configuration (config.js) for easy maintenance</w:t>
      </w:r>
    </w:p>
    <w:p>
      <w:pPr>
        <w:pStyle w:val="ListParagraph"/>
        <w:numPr>
          <w:ilvl w:val="0"/>
          <w:numId w:val="3"/>
        </w:numPr>
        <w:spacing w:after="100"/>
      </w:pPr>
      <w:r>
        <w:rPr>
          <w:rFonts w:ascii="Arial" w:cs="Arial" w:eastAsia="Arial" w:hAnsi="Arial"/>
          <w:sz w:val="22"/>
          <w:szCs w:val="22"/>
        </w:rPr>
        <w:t xml:space="preserve">LocalStorage persistence for API keys and form data</w:t>
      </w:r>
    </w:p>
    <w:p>
      <w:pPr>
        <w:pStyle w:val="ListParagraph"/>
        <w:numPr>
          <w:ilvl w:val="0"/>
          <w:numId w:val="3"/>
        </w:numPr>
        <w:spacing w:after="100"/>
      </w:pPr>
      <w:r>
        <w:rPr>
          <w:rFonts w:ascii="Arial" w:cs="Arial" w:eastAsia="Arial" w:hAnsi="Arial"/>
          <w:sz w:val="22"/>
          <w:szCs w:val="22"/>
        </w:rPr>
        <w:t xml:space="preserve">Voice recognition support with language switching</w:t>
      </w:r>
    </w:p>
    <w:p>
      <w:pPr>
        <w:pStyle w:val="ListParagraph"/>
        <w:numPr>
          <w:ilvl w:val="0"/>
          <w:numId w:val="3"/>
        </w:numPr>
        <w:spacing w:after="100"/>
      </w:pPr>
      <w:r>
        <w:rPr>
          <w:rFonts w:ascii="Arial" w:cs="Arial" w:eastAsia="Arial" w:hAnsi="Arial"/>
          <w:sz w:val="22"/>
          <w:szCs w:val="22"/>
        </w:rPr>
        <w:t xml:space="preserve">Image upload capability for handwritten note parsing</w:t>
      </w:r>
    </w:p>
    <w:p>
      <w:pPr>
        <w:pStyle w:val="ListParagraph"/>
        <w:numPr>
          <w:ilvl w:val="0"/>
          <w:numId w:val="3"/>
        </w:numPr>
        <w:spacing w:after="100"/>
      </w:pPr>
      <w:r>
        <w:rPr>
          <w:rFonts w:ascii="Arial" w:cs="Arial" w:eastAsia="Arial" w:hAnsi="Arial"/>
          <w:sz w:val="22"/>
          <w:szCs w:val="22"/>
        </w:rPr>
        <w:t xml:space="preserve">Model selection allowing users to choose between Gemini versions</w:t>
      </w:r>
    </w:p>
    <w:p>
      <w:pPr>
        <w:spacing w:before="400" w:after="200"/>
      </w:pPr>
      <w:r>
        <w:rPr>
          <w:rFonts w:ascii="Arial" w:cs="Arial" w:eastAsia="Arial" w:hAnsi="Arial"/>
          <w:b/>
          <w:bCs/>
          <w:color w:val="1A365D"/>
          <w:sz w:val="28"/>
          <w:szCs w:val="28"/>
        </w:rPr>
        <w:t xml:space="preserve">Recommendations for Improvement</w:t>
      </w:r>
    </w:p>
    <w:p>
      <w:pPr>
        <w:spacing w:before="300" w:after="150"/>
      </w:pPr>
      <w:r>
        <w:rPr>
          <w:rFonts w:ascii="Arial" w:cs="Arial" w:eastAsia="Arial" w:hAnsi="Arial"/>
          <w:b/>
          <w:bCs/>
          <w:sz w:val="24"/>
          <w:szCs w:val="24"/>
        </w:rPr>
        <w:t xml:space="preserve">High Priority</w:t>
      </w:r>
    </w:p>
    <w:p>
      <w:pPr>
        <w:pStyle w:val="ListParagraph"/>
        <w:numPr>
          <w:ilvl w:val="0"/>
          <w:numId w:val="3"/>
        </w:numPr>
        <w:spacing w:after="100"/>
      </w:pPr>
      <w:r>
        <w:rPr>
          <w:rFonts w:ascii="Arial" w:cs="Arial" w:eastAsia="Arial" w:hAnsi="Arial"/>
          <w:sz w:val="22"/>
          <w:szCs w:val="22"/>
        </w:rPr>
        <w:t xml:space="preserve">Add TypeScript for better maintainability - The codebase is well-structured but would benefit from type safety, especially for the complex form data structures and API responses.</w:t>
      </w:r>
    </w:p>
    <w:p>
      <w:pPr>
        <w:pStyle w:val="ListParagraph"/>
        <w:numPr>
          <w:ilvl w:val="0"/>
          <w:numId w:val="3"/>
        </w:numPr>
        <w:spacing w:after="100"/>
      </w:pPr>
      <w:r>
        <w:rPr>
          <w:rFonts w:ascii="Arial" w:cs="Arial" w:eastAsia="Arial" w:hAnsi="Arial"/>
          <w:sz w:val="22"/>
          <w:szCs w:val="22"/>
        </w:rPr>
        <w:t xml:space="preserve">Implement automated testing - Current tests require manual browser execution. Add Jest or Vitest for automated CI/CD testing.</w:t>
      </w:r>
    </w:p>
    <w:p>
      <w:pPr>
        <w:pStyle w:val="ListParagraph"/>
        <w:numPr>
          <w:ilvl w:val="0"/>
          <w:numId w:val="3"/>
        </w:numPr>
        <w:spacing w:after="100"/>
      </w:pPr>
      <w:r>
        <w:rPr>
          <w:rFonts w:ascii="Arial" w:cs="Arial" w:eastAsia="Arial" w:hAnsi="Arial"/>
          <w:sz w:val="22"/>
          <w:szCs w:val="22"/>
        </w:rPr>
        <w:t xml:space="preserve">Add input validation and sanitization - Clinical data should be validated before display and API submission to prevent XSS and ensure data integrity.</w:t>
      </w:r>
    </w:p>
    <w:p>
      <w:pPr>
        <w:spacing w:before="300" w:after="150"/>
      </w:pPr>
      <w:r>
        <w:rPr>
          <w:rFonts w:ascii="Arial" w:cs="Arial" w:eastAsia="Arial" w:hAnsi="Arial"/>
          <w:b/>
          <w:bCs/>
          <w:sz w:val="24"/>
          <w:szCs w:val="24"/>
        </w:rPr>
        <w:t xml:space="preserve">Medium Priority</w:t>
      </w:r>
    </w:p>
    <w:p>
      <w:pPr>
        <w:pStyle w:val="ListParagraph"/>
        <w:numPr>
          <w:ilvl w:val="0"/>
          <w:numId w:val="3"/>
        </w:numPr>
        <w:spacing w:after="100"/>
      </w:pPr>
      <w:r>
        <w:rPr>
          <w:rFonts w:ascii="Arial" w:cs="Arial" w:eastAsia="Arial" w:hAnsi="Arial"/>
          <w:sz w:val="22"/>
          <w:szCs w:val="22"/>
        </w:rPr>
        <w:t xml:space="preserve">Create a build pipeline - Add bundling (Vite/esbuild) to minify code, tree-shake unused modules, and improve load times.</w:t>
      </w:r>
    </w:p>
    <w:p>
      <w:pPr>
        <w:pStyle w:val="ListParagraph"/>
        <w:numPr>
          <w:ilvl w:val="0"/>
          <w:numId w:val="3"/>
        </w:numPr>
        <w:spacing w:after="100"/>
      </w:pPr>
      <w:r>
        <w:rPr>
          <w:rFonts w:ascii="Arial" w:cs="Arial" w:eastAsia="Arial" w:hAnsi="Arial"/>
          <w:sz w:val="22"/>
          <w:szCs w:val="22"/>
        </w:rPr>
        <w:t xml:space="preserve">Add PWA capabilities - The app is already offline-capable; adding a service worker and manifest would enable installation as a native-like app.</w:t>
      </w:r>
    </w:p>
    <w:p>
      <w:pPr>
        <w:pStyle w:val="ListParagraph"/>
        <w:numPr>
          <w:ilvl w:val="0"/>
          <w:numId w:val="3"/>
        </w:numPr>
        <w:spacing w:after="100"/>
      </w:pPr>
      <w:r>
        <w:rPr>
          <w:rFonts w:ascii="Arial" w:cs="Arial" w:eastAsia="Arial" w:hAnsi="Arial"/>
          <w:sz w:val="22"/>
          <w:szCs w:val="22"/>
        </w:rPr>
        <w:t xml:space="preserve">Implement rate limiting awareness - Add user feedback when approaching Gemini API rate limits.</w:t>
      </w:r>
    </w:p>
    <w:p>
      <w:pPr>
        <w:pStyle w:val="ListParagraph"/>
        <w:numPr>
          <w:ilvl w:val="0"/>
          <w:numId w:val="3"/>
        </w:numPr>
        <w:spacing w:after="100"/>
      </w:pPr>
      <w:r>
        <w:rPr>
          <w:rFonts w:ascii="Arial" w:cs="Arial" w:eastAsia="Arial" w:hAnsi="Arial"/>
          <w:sz w:val="22"/>
          <w:szCs w:val="22"/>
        </w:rPr>
        <w:t xml:space="preserve">Add data export/import - Allow clinicians to save and restore sessions, useful for shift handoffs.</w:t>
      </w:r>
    </w:p>
    <w:p>
      <w:pPr>
        <w:spacing w:before="300" w:after="150"/>
      </w:pPr>
      <w:r>
        <w:rPr>
          <w:rFonts w:ascii="Arial" w:cs="Arial" w:eastAsia="Arial" w:hAnsi="Arial"/>
          <w:b/>
          <w:bCs/>
          <w:sz w:val="24"/>
          <w:szCs w:val="24"/>
        </w:rPr>
        <w:t xml:space="preserve">Low Priority / Nice-to-Have</w:t>
      </w:r>
    </w:p>
    <w:p>
      <w:pPr>
        <w:pStyle w:val="ListParagraph"/>
        <w:numPr>
          <w:ilvl w:val="0"/>
          <w:numId w:val="3"/>
        </w:numPr>
        <w:spacing w:after="100"/>
      </w:pPr>
      <w:r>
        <w:rPr>
          <w:rFonts w:ascii="Arial" w:cs="Arial" w:eastAsia="Arial" w:hAnsi="Arial"/>
          <w:sz w:val="22"/>
          <w:szCs w:val="22"/>
        </w:rPr>
        <w:t xml:space="preserve">Add dark mode - Reduce eye strain for clinicians working night shifts.</w:t>
      </w:r>
    </w:p>
    <w:p>
      <w:pPr>
        <w:pStyle w:val="ListParagraph"/>
        <w:numPr>
          <w:ilvl w:val="0"/>
          <w:numId w:val="3"/>
        </w:numPr>
        <w:spacing w:after="100"/>
      </w:pPr>
      <w:r>
        <w:rPr>
          <w:rFonts w:ascii="Arial" w:cs="Arial" w:eastAsia="Arial" w:hAnsi="Arial"/>
          <w:sz w:val="22"/>
          <w:szCs w:val="22"/>
        </w:rPr>
        <w:t xml:space="preserve">Implement keyboard shortcuts - Speed up common workflows (Ctrl+Enter to parse, etc.).</w:t>
      </w:r>
    </w:p>
    <w:p>
      <w:pPr>
        <w:pStyle w:val="ListParagraph"/>
        <w:numPr>
          <w:ilvl w:val="0"/>
          <w:numId w:val="3"/>
        </w:numPr>
        <w:spacing w:after="100"/>
      </w:pPr>
      <w:r>
        <w:rPr>
          <w:rFonts w:ascii="Arial" w:cs="Arial" w:eastAsia="Arial" w:hAnsi="Arial"/>
          <w:sz w:val="22"/>
          <w:szCs w:val="22"/>
        </w:rPr>
        <w:t xml:space="preserve">Add form field templates - Pre-fill common values based on department or admission type.</w:t>
      </w:r>
    </w:p>
    <w:p>
      <w:pPr>
        <w:pStyle w:val="ListParagraph"/>
        <w:numPr>
          <w:ilvl w:val="0"/>
          <w:numId w:val="3"/>
        </w:numPr>
        <w:spacing w:after="100"/>
      </w:pPr>
      <w:r>
        <w:rPr>
          <w:rFonts w:ascii="Arial" w:cs="Arial" w:eastAsia="Arial" w:hAnsi="Arial"/>
          <w:sz w:val="22"/>
          <w:szCs w:val="22"/>
        </w:rPr>
        <w:t xml:space="preserve">Create user documentation - Add in-app help or tooltips explaining each field.</w:t>
      </w:r>
    </w:p>
    <w:p>
      <w:pPr>
        <w:spacing w:before="400" w:after="200"/>
      </w:pPr>
      <w:r>
        <w:rPr>
          <w:rFonts w:ascii="Arial" w:cs="Arial" w:eastAsia="Arial" w:hAnsi="Arial"/>
          <w:b/>
          <w:bCs/>
          <w:color w:val="1A365D"/>
          <w:sz w:val="28"/>
          <w:szCs w:val="28"/>
        </w:rPr>
        <w:t xml:space="preserve">Security Considerations</w:t>
      </w:r>
    </w:p>
    <w:p>
      <w:pPr>
        <w:spacing w:after="150"/>
      </w:pPr>
      <w:r>
        <w:rPr>
          <w:rFonts w:ascii="Arial" w:cs="Arial" w:eastAsia="Arial" w:hAnsi="Arial"/>
          <w:sz w:val="22"/>
          <w:szCs w:val="22"/>
        </w:rPr>
        <w:t xml:space="preserve">The current implementation stores the Gemini API key in localStorage, which is acceptable for a local-use tool but has implications:</w:t>
      </w:r>
    </w:p>
    <w:p>
      <w:pPr>
        <w:pStyle w:val="ListParagraph"/>
        <w:numPr>
          <w:ilvl w:val="0"/>
          <w:numId w:val="2"/>
        </w:numPr>
        <w:spacing w:after="80"/>
      </w:pPr>
      <w:r>
        <w:rPr>
          <w:rFonts w:ascii="Arial" w:cs="Arial" w:eastAsia="Arial" w:hAnsi="Arial"/>
          <w:sz w:val="22"/>
          <w:szCs w:val="22"/>
        </w:rPr>
        <w:t xml:space="preserve">API keys are visible in browser DevTools</w:t>
      </w:r>
    </w:p>
    <w:p>
      <w:pPr>
        <w:pStyle w:val="ListParagraph"/>
        <w:numPr>
          <w:ilvl w:val="0"/>
          <w:numId w:val="2"/>
        </w:numPr>
        <w:spacing w:after="80"/>
      </w:pPr>
      <w:r>
        <w:rPr>
          <w:rFonts w:ascii="Arial" w:cs="Arial" w:eastAsia="Arial" w:hAnsi="Arial"/>
          <w:sz w:val="22"/>
          <w:szCs w:val="22"/>
        </w:rPr>
        <w:t xml:space="preserve">Keys persist until explicitly cleared</w:t>
      </w:r>
    </w:p>
    <w:p>
      <w:pPr>
        <w:pStyle w:val="ListParagraph"/>
        <w:numPr>
          <w:ilvl w:val="0"/>
          <w:numId w:val="2"/>
        </w:numPr>
        <w:spacing w:after="80"/>
      </w:pPr>
      <w:r>
        <w:rPr>
          <w:rFonts w:ascii="Arial" w:cs="Arial" w:eastAsia="Arial" w:hAnsi="Arial"/>
          <w:sz w:val="22"/>
          <w:szCs w:val="22"/>
        </w:rPr>
        <w:t xml:space="preserve">Patient data is sent to Google servers for parsing</w:t>
      </w:r>
    </w:p>
    <w:p>
      <w:pPr>
        <w:spacing w:after="150"/>
      </w:pPr>
      <w:r>
        <w:rPr>
          <w:rFonts w:ascii="Arial" w:cs="Arial" w:eastAsia="Arial" w:hAnsi="Arial"/>
          <w:sz w:val="22"/>
          <w:szCs w:val="22"/>
        </w:rPr>
        <w:t xml:space="preserve">For production hospital deployment, consider: API key proxy through hospital servers, data anonymization before AI parsing, and audit logging for compliance.</w:t>
      </w:r>
    </w:p>
    <w:p>
      <w:pPr>
        <w:spacing w:before="400" w:after="200"/>
      </w:pPr>
      <w:r>
        <w:rPr>
          <w:rFonts w:ascii="Arial" w:cs="Arial" w:eastAsia="Arial" w:hAnsi="Arial"/>
          <w:b/>
          <w:bCs/>
          <w:color w:val="1A365D"/>
          <w:sz w:val="28"/>
          <w:szCs w:val="28"/>
        </w:rPr>
        <w:t xml:space="preserve">Code Quality Observations</w:t>
      </w:r>
    </w:p>
    <w:p>
      <w:pPr>
        <w:spacing w:after="150"/>
      </w:pPr>
      <w:r>
        <w:rPr>
          <w:rFonts w:ascii="Arial" w:cs="Arial" w:eastAsia="Arial" w:hAnsi="Arial"/>
          <w:sz w:val="22"/>
          <w:szCs w:val="22"/>
        </w:rPr>
        <w:t xml:space="preserve">The JavaScript codebase demonstrates good practices:</w:t>
      </w:r>
    </w:p>
    <w:p>
      <w:pPr>
        <w:pStyle w:val="ListParagraph"/>
        <w:numPr>
          <w:ilvl w:val="0"/>
          <w:numId w:val="2"/>
        </w:numPr>
        <w:spacing w:after="80"/>
      </w:pPr>
      <w:r>
        <w:rPr>
          <w:rFonts w:ascii="Arial" w:cs="Arial" w:eastAsia="Arial" w:hAnsi="Arial"/>
          <w:sz w:val="22"/>
          <w:szCs w:val="22"/>
        </w:rPr>
        <w:t xml:space="preserve">Consistent use of JSDoc comments for documentation</w:t>
      </w:r>
    </w:p>
    <w:p>
      <w:pPr>
        <w:pStyle w:val="ListParagraph"/>
        <w:numPr>
          <w:ilvl w:val="0"/>
          <w:numId w:val="2"/>
        </w:numPr>
        <w:spacing w:after="80"/>
      </w:pPr>
      <w:r>
        <w:rPr>
          <w:rFonts w:ascii="Arial" w:cs="Arial" w:eastAsia="Arial" w:hAnsi="Arial"/>
          <w:sz w:val="22"/>
          <w:szCs w:val="22"/>
        </w:rPr>
        <w:t xml:space="preserve">Proper async/await patterns with error handling</w:t>
      </w:r>
    </w:p>
    <w:p>
      <w:pPr>
        <w:pStyle w:val="ListParagraph"/>
        <w:numPr>
          <w:ilvl w:val="0"/>
          <w:numId w:val="2"/>
        </w:numPr>
        <w:spacing w:after="80"/>
      </w:pPr>
      <w:r>
        <w:rPr>
          <w:rFonts w:ascii="Arial" w:cs="Arial" w:eastAsia="Arial" w:hAnsi="Arial"/>
          <w:sz w:val="22"/>
          <w:szCs w:val="22"/>
        </w:rPr>
        <w:t xml:space="preserve">Debouncing for form inputs to reduce unnecessary saves</w:t>
      </w:r>
    </w:p>
    <w:p>
      <w:pPr>
        <w:pStyle w:val="ListParagraph"/>
        <w:numPr>
          <w:ilvl w:val="0"/>
          <w:numId w:val="2"/>
        </w:numPr>
        <w:spacing w:after="80"/>
      </w:pPr>
      <w:r>
        <w:rPr>
          <w:rFonts w:ascii="Arial" w:cs="Arial" w:eastAsia="Arial" w:hAnsi="Arial"/>
          <w:sz w:val="22"/>
          <w:szCs w:val="22"/>
        </w:rPr>
        <w:t xml:space="preserve">Modular design allowing easy component testing</w:t>
      </w:r>
    </w:p>
    <w:p>
      <w:pPr>
        <w:spacing w:after="150"/>
      </w:pPr>
      <w:r>
        <w:rPr>
          <w:rFonts w:ascii="Arial" w:cs="Arial" w:eastAsia="Arial" w:hAnsi="Arial"/>
          <w:sz w:val="22"/>
          <w:szCs w:val="22"/>
        </w:rPr>
        <w:t xml:space="preserve">The main area for improvement is adding static type checking (TypeScript) and expanding test coverage beyond the current utils and errors modules.</w:t>
      </w:r>
    </w:p>
    <w:p>
      <w:pPr>
        <w:spacing w:before="400" w:after="200"/>
      </w:pPr>
      <w:r>
        <w:rPr>
          <w:rFonts w:ascii="Arial" w:cs="Arial" w:eastAsia="Arial" w:hAnsi="Arial"/>
          <w:b/>
          <w:bCs/>
          <w:color w:val="1A365D"/>
          <w:sz w:val="28"/>
          <w:szCs w:val="28"/>
        </w:rPr>
        <w:t xml:space="preserve">Summary</w:t>
      </w:r>
    </w:p>
    <w:p>
      <w:pPr>
        <w:spacing w:after="150"/>
      </w:pPr>
      <w:r>
        <w:rPr>
          <w:rFonts w:ascii="Arial" w:cs="Arial" w:eastAsia="Arial" w:hAnsi="Arial"/>
          <w:sz w:val="22"/>
          <w:szCs w:val="22"/>
        </w:rPr>
        <w:t xml:space="preserve">The Admission Note Builder is a well-designed clinical tool with solid architecture. The codebase is clean and maintainable. Key improvements would be adding TypeScript for type safety, expanding automated testing, and implementing a build pipeline for production optimization. The modular structure makes these enhancements straightforward to implement incrementally.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r>
      <w:rPr>
        <w:rFonts w:ascii="Arial" w:cs="Arial" w:eastAsia="Arial" w:hAnsi="Arial"/>
        <w:color w:val="666666"/>
        <w:sz w:val="20"/>
        <w:szCs w:val="20"/>
      </w:rPr>
      <w:t xml:space="preserve"> of </w:t>
    </w:r>
    <w:r>
      <w:rPr>
        <w:rFonts w:ascii="Arial" w:cs="Arial" w:eastAsia="Arial" w:hAnsi="Arial"/>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Admissions Project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300"/>
    </w:pPr>
    <w:rPr>
      <w:rFonts w:ascii="Arial" w:cs="Arial" w:eastAsia="Arial" w:hAnsi="Arial"/>
      <w:b/>
      <w:bCs/>
      <w:color w:val="1A365D"/>
      <w:sz w:val="36"/>
      <w:szCs w:val="36"/>
    </w:rPr>
  </w:style>
  <w:style w:type="paragraph" w:styleId="Heading2">
    <w:name w:val="Heading 2"/>
    <w:basedOn w:val="Normal"/>
    <w:next w:val="Normal"/>
    <w:qFormat/>
    <w:pPr>
      <w:spacing w:before="300" w:after="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2026-01-20T00:39:08.262Z</dcterms:created>
  <dcterms:modified xsi:type="dcterms:W3CDTF">2026-01-20T00:39:08.263Z</dcterms:modified>
</cp:coreProperties>
</file>

<file path=docProps/custom.xml><?xml version="1.0" encoding="utf-8"?>
<Properties xmlns="http://schemas.openxmlformats.org/officeDocument/2006/custom-properties" xmlns:vt="http://schemas.openxmlformats.org/officeDocument/2006/docPropsVTypes"/>
</file>