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E04" w:rsidRPr="00AB0B29" w:rsidRDefault="00714E66" w:rsidP="00F81451">
      <w:pPr>
        <w:pStyle w:val="Title2"/>
      </w:pPr>
      <w:r w:rsidRPr="00714E66">
        <w:t>Wakaf Korporat : Konsep &amp; Perkembangan Di Malaysia dan Dunia Islam</w:t>
      </w:r>
      <w:r w:rsidR="00F013F7">
        <w:rPr>
          <w:rStyle w:val="FootnoteReference"/>
        </w:rPr>
        <w:footnoteReference w:id="1"/>
      </w:r>
    </w:p>
    <w:p w:rsidR="00C33E04" w:rsidRPr="00AB0B29" w:rsidRDefault="00C33E04" w:rsidP="00B8141C">
      <w:pPr>
        <w:spacing w:line="240" w:lineRule="auto"/>
        <w:jc w:val="center"/>
      </w:pPr>
      <w:r w:rsidRPr="00AB0B29">
        <w:t>Asharaf Mohd Ramli</w:t>
      </w:r>
      <w:r w:rsidR="00A5757D">
        <w:rPr>
          <w:rStyle w:val="FootnoteReference"/>
        </w:rPr>
        <w:footnoteReference w:id="2"/>
      </w:r>
      <w:r w:rsidRPr="00AB0B29">
        <w:t xml:space="preserve"> &amp; Abdullaah Jalil</w:t>
      </w:r>
    </w:p>
    <w:p w:rsidR="00B8141C" w:rsidRPr="00AB0B29" w:rsidRDefault="00A5757D" w:rsidP="00B8141C">
      <w:pPr>
        <w:spacing w:line="240" w:lineRule="auto"/>
        <w:jc w:val="center"/>
      </w:pPr>
      <w:r>
        <w:t>Fak</w:t>
      </w:r>
      <w:r w:rsidR="00B8141C" w:rsidRPr="00AB0B29">
        <w:t>ulti Economi dan Muamalat</w:t>
      </w:r>
    </w:p>
    <w:p w:rsidR="00B8141C" w:rsidRPr="00AB0B29" w:rsidRDefault="00B8141C" w:rsidP="00B8141C">
      <w:pPr>
        <w:spacing w:line="240" w:lineRule="auto"/>
        <w:jc w:val="center"/>
      </w:pPr>
      <w:r w:rsidRPr="00AB0B29">
        <w:t>Universiti Sains Islam Malaysia</w:t>
      </w:r>
    </w:p>
    <w:p w:rsidR="00B8141C" w:rsidRPr="00AB0B29" w:rsidRDefault="00B8141C" w:rsidP="00606CE8">
      <w:pPr>
        <w:jc w:val="center"/>
      </w:pPr>
    </w:p>
    <w:p w:rsidR="00BD12C4" w:rsidRPr="00AB0B29" w:rsidRDefault="00AB0B29" w:rsidP="007D175A">
      <w:pPr>
        <w:spacing w:line="240" w:lineRule="auto"/>
        <w:jc w:val="center"/>
        <w:rPr>
          <w:b/>
          <w:bCs/>
        </w:rPr>
      </w:pPr>
      <w:r>
        <w:rPr>
          <w:b/>
          <w:bCs/>
        </w:rPr>
        <w:t>Abstrak</w:t>
      </w:r>
    </w:p>
    <w:p w:rsidR="00BD12C4" w:rsidRPr="00AB0B29" w:rsidRDefault="00AB0B29" w:rsidP="001F63AE">
      <w:pPr>
        <w:spacing w:line="240" w:lineRule="auto"/>
      </w:pPr>
      <w:bookmarkStart w:id="1" w:name="OLE_LINK1"/>
      <w:bookmarkStart w:id="2" w:name="OLE_LINK2"/>
      <w:r>
        <w:t>Tujuan kertas kertas ini adalah untuk</w:t>
      </w:r>
      <w:r w:rsidR="00714E66">
        <w:t xml:space="preserve"> men</w:t>
      </w:r>
      <w:r w:rsidR="004D5C3E">
        <w:t>eliti</w:t>
      </w:r>
      <w:r w:rsidR="00714E66">
        <w:t xml:space="preserve"> konsep wakaf korporat dan menganalis</w:t>
      </w:r>
      <w:r w:rsidR="004D5C3E">
        <w:t>is</w:t>
      </w:r>
      <w:r w:rsidR="00714E66">
        <w:t xml:space="preserve"> struktur </w:t>
      </w:r>
      <w:r w:rsidR="00D03E69">
        <w:t xml:space="preserve">model </w:t>
      </w:r>
      <w:r w:rsidR="00714E66">
        <w:t xml:space="preserve">wakaf korporat yang telah dilaksanakan di Malaysia dan beberapa negara Islam. </w:t>
      </w:r>
      <w:bookmarkEnd w:id="1"/>
      <w:bookmarkEnd w:id="2"/>
      <w:r w:rsidR="004D5C3E">
        <w:t xml:space="preserve">Konsep wakaf korporat telah membuka dimensi baru di dalam pengurusan aset-aset wakaf </w:t>
      </w:r>
      <w:r w:rsidR="009F40A6">
        <w:t>terutamanya</w:t>
      </w:r>
      <w:r w:rsidR="004D5C3E">
        <w:t xml:space="preserve"> wang tunai dan saham </w:t>
      </w:r>
      <w:r w:rsidR="009F40A6">
        <w:t>dengan melibatkan penyertaan institusi korporat dan pengamalan budaya kor</w:t>
      </w:r>
      <w:r w:rsidR="00D03E69">
        <w:t>porat seperti akauntabiliti, ketelusan dan profesionalisma</w:t>
      </w:r>
      <w:r w:rsidR="009F40A6">
        <w:t xml:space="preserve">. </w:t>
      </w:r>
      <w:r w:rsidR="00CE1C23">
        <w:t xml:space="preserve"> </w:t>
      </w:r>
      <w:r w:rsidR="009F40A6">
        <w:t xml:space="preserve">Kajian </w:t>
      </w:r>
      <w:r w:rsidR="00CE1C23">
        <w:t>ini adalah berbentuk kajian awal yang berdasarkan kepada kajian perpustakaan dan sumber maklumat sekunder.</w:t>
      </w:r>
      <w:r w:rsidR="009F40A6">
        <w:t xml:space="preserve"> Penglibatan institusi korporat di Malaysia yang bekerjasama dengan </w:t>
      </w:r>
      <w:r w:rsidR="009F40A6" w:rsidRPr="009F40A6">
        <w:t>Majlis Agama Islam Negeri (MAIN) di dalam mengurus, mengumpul dan melabur dana wakaf di Malaysia</w:t>
      </w:r>
      <w:r w:rsidR="009F40A6">
        <w:t xml:space="preserve"> diharapkan akan menyemarakkan lagi aktiviti-aktiviti wakaf. </w:t>
      </w:r>
      <w:r w:rsidR="0064573F">
        <w:t>Dapatan kajian i</w:t>
      </w:r>
      <w:r w:rsidR="00D03E69">
        <w:t>ni diharapkan akan menambahkan</w:t>
      </w:r>
      <w:r w:rsidR="0064573F">
        <w:t xml:space="preserve"> lagi penglibat</w:t>
      </w:r>
      <w:r w:rsidR="005E0C20">
        <w:t>an institusi-institusi korporat</w:t>
      </w:r>
      <w:r w:rsidR="0064573F">
        <w:t xml:space="preserve"> di dalam aktiviti-aktiviti wakaf.</w:t>
      </w:r>
      <w:r w:rsidR="00BD12C4" w:rsidRPr="00AB0B29">
        <w:t xml:space="preserve"> </w:t>
      </w:r>
      <w:r w:rsidR="008B7832">
        <w:t>Hasil-hasil yang diperolehi dapat membantu meningkatkan so</w:t>
      </w:r>
      <w:r w:rsidR="00D03E69">
        <w:t xml:space="preserve">sio-ekonomi umat Islam di dalam aspek kesihatan, </w:t>
      </w:r>
      <w:r w:rsidR="008B7832">
        <w:t>pendidikan</w:t>
      </w:r>
      <w:r w:rsidR="00D03E69">
        <w:t xml:space="preserve"> dan lain-lain</w:t>
      </w:r>
      <w:r w:rsidR="008B7832">
        <w:t>.</w:t>
      </w:r>
    </w:p>
    <w:p w:rsidR="00A36A24" w:rsidRDefault="00A36A24" w:rsidP="00BD12C4">
      <w:pPr>
        <w:spacing w:line="240" w:lineRule="auto"/>
      </w:pPr>
      <w:r w:rsidRPr="00AB0B29">
        <w:rPr>
          <w:b/>
          <w:bCs/>
        </w:rPr>
        <w:t>K</w:t>
      </w:r>
      <w:r w:rsidR="00C64B33">
        <w:rPr>
          <w:b/>
          <w:bCs/>
        </w:rPr>
        <w:t>ata-kunci</w:t>
      </w:r>
      <w:r w:rsidR="0064573F">
        <w:t xml:space="preserve"> </w:t>
      </w:r>
      <w:r w:rsidR="0064573F">
        <w:rPr>
          <w:i/>
          <w:iCs/>
        </w:rPr>
        <w:t>Waka</w:t>
      </w:r>
      <w:r w:rsidR="00160857" w:rsidRPr="00AB0B29">
        <w:rPr>
          <w:i/>
          <w:iCs/>
        </w:rPr>
        <w:t>f</w:t>
      </w:r>
      <w:r w:rsidR="0064573F">
        <w:t>, Wakaf Korporat</w:t>
      </w:r>
      <w:r w:rsidR="00D33B71">
        <w:t>, Islam</w:t>
      </w:r>
    </w:p>
    <w:p w:rsidR="00714E66" w:rsidRPr="00AB0B29" w:rsidRDefault="00714E66" w:rsidP="00BD12C4">
      <w:pPr>
        <w:spacing w:line="240" w:lineRule="auto"/>
      </w:pPr>
    </w:p>
    <w:p w:rsidR="00E66C8A" w:rsidRDefault="00E66C8A" w:rsidP="00E66C8A">
      <w:pPr>
        <w:spacing w:line="240" w:lineRule="auto"/>
        <w:rPr>
          <w:b/>
          <w:bCs/>
        </w:rPr>
      </w:pPr>
    </w:p>
    <w:p w:rsidR="00E66C8A" w:rsidRDefault="00E66C8A" w:rsidP="00E66C8A">
      <w:pPr>
        <w:spacing w:line="240" w:lineRule="auto"/>
        <w:rPr>
          <w:b/>
          <w:bCs/>
        </w:rPr>
      </w:pPr>
    </w:p>
    <w:p w:rsidR="00E66C8A" w:rsidRDefault="00E66C8A" w:rsidP="00E66C8A">
      <w:pPr>
        <w:spacing w:line="240" w:lineRule="auto"/>
        <w:rPr>
          <w:b/>
          <w:bCs/>
        </w:rPr>
      </w:pPr>
    </w:p>
    <w:p w:rsidR="00E66C8A" w:rsidRDefault="00E66C8A" w:rsidP="00E66C8A">
      <w:pPr>
        <w:spacing w:line="240" w:lineRule="auto"/>
        <w:rPr>
          <w:b/>
          <w:bCs/>
        </w:rPr>
      </w:pPr>
    </w:p>
    <w:p w:rsidR="00E66C8A" w:rsidRDefault="00E66C8A" w:rsidP="00E66C8A">
      <w:pPr>
        <w:spacing w:line="240" w:lineRule="auto"/>
      </w:pPr>
    </w:p>
    <w:p w:rsidR="00D33B71" w:rsidRDefault="00D33B71" w:rsidP="00E66C8A">
      <w:pPr>
        <w:spacing w:line="240" w:lineRule="auto"/>
      </w:pPr>
    </w:p>
    <w:p w:rsidR="00680264" w:rsidRDefault="00680264" w:rsidP="00E66C8A">
      <w:pPr>
        <w:spacing w:line="240" w:lineRule="auto"/>
      </w:pPr>
    </w:p>
    <w:p w:rsidR="00F81451" w:rsidRDefault="00F81451" w:rsidP="00E66C8A">
      <w:pPr>
        <w:spacing w:line="240" w:lineRule="auto"/>
      </w:pPr>
    </w:p>
    <w:p w:rsidR="00173D7F" w:rsidRDefault="00827B1B" w:rsidP="00734FF6">
      <w:pPr>
        <w:pStyle w:val="Heading1"/>
        <w:numPr>
          <w:ilvl w:val="0"/>
          <w:numId w:val="18"/>
        </w:numPr>
        <w:spacing w:line="240" w:lineRule="auto"/>
        <w:ind w:left="360"/>
        <w:rPr>
          <w:rFonts w:ascii="Times New Roman" w:hAnsi="Times New Roman" w:cs="Times New Roman"/>
        </w:rPr>
      </w:pPr>
      <w:r>
        <w:rPr>
          <w:rFonts w:ascii="Times New Roman" w:hAnsi="Times New Roman" w:cs="Times New Roman"/>
        </w:rPr>
        <w:lastRenderedPageBreak/>
        <w:t>Pendahuluan</w:t>
      </w:r>
    </w:p>
    <w:p w:rsidR="006E39A6" w:rsidRPr="006E39A6" w:rsidRDefault="007515F9" w:rsidP="006E39A6">
      <w:pPr>
        <w:spacing w:line="360" w:lineRule="auto"/>
      </w:pPr>
      <w:r>
        <w:t xml:space="preserve">Senario terkini perkembangan dan pembangunan wakaf adalah penglibatan aktif entiti korporat yang terlibat secara langsung didalam penubuhan, pengurusan dan penyaluran manfaat wakaf kepada penerima. </w:t>
      </w:r>
      <w:r w:rsidR="0018130B">
        <w:t>Penglibatan aktif entiti korporat didalam aktiviti wakaf telah membuka dimensi baru pengurusan aset-aset wakaf yang menekankan kepada etika tadbir urus dunia korporat se</w:t>
      </w:r>
      <w:r w:rsidR="00D03E69">
        <w:t>perti akauntabiliti, ketelusan</w:t>
      </w:r>
      <w:r w:rsidR="0018130B">
        <w:t xml:space="preserve"> dan profesionalisma. Ketiga-tiga aspek ini dilihat amat penting memandangkan kepada cabaran menguruskan aset-aset wakaf kontemporari yang berbentuk kewangan seperti wang tunai, saham, keuntungan dan juga dividen. </w:t>
      </w:r>
      <w:r w:rsidR="006E39A6">
        <w:t>Justeru, k</w:t>
      </w:r>
      <w:r w:rsidR="0018130B">
        <w:t xml:space="preserve">onsep wakaf korporat </w:t>
      </w:r>
      <w:r w:rsidR="006E39A6">
        <w:t xml:space="preserve">diperkenalkan dengan merujuk kepada peranan penting yang dimainkan oleh entiti korporat di dalam aspek penubuhan dan pengurusan aset wakaf yang terdiri daripada aset kewangan seperti wang tunai dan saham. </w:t>
      </w:r>
      <w:r w:rsidR="00824B8A">
        <w:t>Jika ditinjau dari aspek aset,</w:t>
      </w:r>
      <w:r w:rsidR="006E39A6">
        <w:t>wakaf korporat adalah kesinambungan daripada konsep wakaf tunai yang telah diterima sebagai i</w:t>
      </w:r>
      <w:r w:rsidR="00824B8A">
        <w:t xml:space="preserve">ntrumen wakaf popular masakini </w:t>
      </w:r>
      <w:r w:rsidR="007D60EE" w:rsidRPr="006E39A6">
        <w:t>dengan menggunakan wang tunai berl</w:t>
      </w:r>
      <w:r w:rsidR="00824B8A">
        <w:t xml:space="preserve">ainan dengan kaedah </w:t>
      </w:r>
      <w:r w:rsidR="00906198">
        <w:t xml:space="preserve">wakaf tradisi </w:t>
      </w:r>
      <w:r w:rsidR="007D60EE" w:rsidRPr="006E39A6">
        <w:t xml:space="preserve">yang melibatkan tanah dan bangunan </w:t>
      </w:r>
      <w:r w:rsidR="0080661B">
        <w:fldChar w:fldCharType="begin" w:fldLock="1"/>
      </w:r>
      <w:r w:rsidR="00B829AB">
        <w:instrText>ADDIN CSL_CITATION { "citationItems" : [ { "id" : "ITEM-1", "itemData" : { "author" : [ { "dropping-particle" : "", "family" : "Mohsin", "given" : "Magda Ismail Abdel", "non-dropping-particle" : "", "parse-names" : false, "suffix" : "" } ], "id" : "ITEM-1", "issued" : { "date-parts" : [ [ "2009" ] ] }, "title" : "Cash Waqf: A New Financial Product", "type" : "book" }, "uris" : [ "http://www.mendeley.com/documents/?uuid=f07a3e97-2c10-4603-be6b-fe28f43f295e" ] } ], "mendeley" : { "formattedCitation" : "(Mohsin, 2009)", "manualFormatting" : "(Magda, 2009)", "plainTextFormattedCitation" : "(Mohsin, 2009)", "previouslyFormattedCitation" : "(Mohsin, 2009)" }, "properties" : { "noteIndex" : 0 }, "schema" : "https://github.com/citation-style-language/schema/raw/master/csl-citation.json" }</w:instrText>
      </w:r>
      <w:r w:rsidR="0080661B">
        <w:fldChar w:fldCharType="separate"/>
      </w:r>
      <w:r w:rsidR="00B829AB">
        <w:rPr>
          <w:noProof/>
        </w:rPr>
        <w:t>(Magda</w:t>
      </w:r>
      <w:r w:rsidR="0080661B" w:rsidRPr="0080661B">
        <w:rPr>
          <w:noProof/>
        </w:rPr>
        <w:t>, 2009)</w:t>
      </w:r>
      <w:r w:rsidR="0080661B">
        <w:fldChar w:fldCharType="end"/>
      </w:r>
      <w:r w:rsidR="007F000F" w:rsidRPr="006E39A6">
        <w:t xml:space="preserve">. </w:t>
      </w:r>
      <w:r w:rsidR="006777D2">
        <w:t xml:space="preserve">Manakala jika melihat dari skop yang lebih luas, konsep wakaf korporat adalah tersendiri yang melibatkan penubuhan dan pengurusan aset wakaf alih oleh entiti korporat serta penyaluran manfaat oleh entiti tersebut kepada penerima (Asharaf dan Abdullah, 2013; AWQAF, 2017).  </w:t>
      </w:r>
    </w:p>
    <w:p w:rsidR="00D52E70" w:rsidRPr="00130EFB" w:rsidRDefault="00824B8A" w:rsidP="00130EFB">
      <w:pPr>
        <w:spacing w:line="360" w:lineRule="auto"/>
      </w:pPr>
      <w:r>
        <w:t>Melihat kepada sorotan sejarah, i</w:t>
      </w:r>
      <w:r w:rsidR="006E39A6">
        <w:t xml:space="preserve">nstitusi-institusi wakaf telah memainkan peranan yang amat penting di dalam sejarah peradaban Islam semenjak daripada zaman kerajaan Islam pertama di Madinah sehinggalah </w:t>
      </w:r>
      <w:r w:rsidR="0080661B">
        <w:t xml:space="preserve">ke zaman Empayar Turki Uthmaniyyah. Pelbagai kemudahan dan fasiliti awam merangkumi masjid, jalan raya, jambatan, sekolah, universiti dan hospital ditubuhkan dan dibiayai oleh dana-dana wakaf tanpa melibatkan peruntukan daripada pihak pemerintah </w:t>
      </w:r>
      <w:r w:rsidR="0080661B">
        <w:fldChar w:fldCharType="begin" w:fldLock="1"/>
      </w:r>
      <w:r w:rsidR="00B829AB">
        <w:instrText>ADDIN CSL_CITATION { "citationItems" : [ { "id" : "ITEM-1", "itemData" : { "author" : [ { "dropping-particle" : "", "family" : "Cizakca", "given" : "Murat", "non-dropping-particle" : "", "parse-names" : false, "suffix" : "" } ], "container-title" : "Islamic Economic Studies", "id" : "ITEM-1", "issue" : "1", "issued" : { "date-parts" : [ [ "1998" ] ] }, "note" : "Historical awqaf system", "page" : "43-70", "title" : "AWQAF IN HISTORY AND ITS IMPLICATIONS FOR MODERN ISLAMIC ECONOMIES *", "type" : "article-journal", "volume" : "6" }, "uris" : [ "http://www.mendeley.com/documents/?uuid=5003a20c-ccd3-450c-a41d-9e084aed9645" ] }, { "id" : "ITEM-2", "itemData" : { "author" : [ { "dropping-particle" : "", "family" : "Mohsin", "given" : "Magda Ismail Abdel", "non-dropping-particle" : "", "parse-names" : false, "suffix" : "" } ], "id" : "ITEM-2", "issued" : { "date-parts" : [ [ "2009" ] ] }, "title" : "Cash Waqf: A New Financial Product", "type" : "book" }, "uris" : [ "http://www.mendeley.com/documents/?uuid=f07a3e97-2c10-4603-be6b-fe28f43f295e" ] } ], "mendeley" : { "formattedCitation" : "(Cizakca, 1998; Mohsin, 2009)", "manualFormatting" : "(Cizakca, 1998; Magda, 2009)", "plainTextFormattedCitation" : "(Cizakca, 1998; Mohsin, 2009)", "previouslyFormattedCitation" : "(Cizakca, 1998; Mohsin, 2009)" }, "properties" : { "noteIndex" : 0 }, "schema" : "https://github.com/citation-style-language/schema/raw/master/csl-citation.json" }</w:instrText>
      </w:r>
      <w:r w:rsidR="0080661B">
        <w:fldChar w:fldCharType="separate"/>
      </w:r>
      <w:r w:rsidR="00B829AB">
        <w:rPr>
          <w:noProof/>
        </w:rPr>
        <w:t>(Cizakca, 1998; Magda</w:t>
      </w:r>
      <w:r w:rsidR="0080661B" w:rsidRPr="0080661B">
        <w:rPr>
          <w:noProof/>
        </w:rPr>
        <w:t>, 2009)</w:t>
      </w:r>
      <w:r w:rsidR="0080661B">
        <w:fldChar w:fldCharType="end"/>
      </w:r>
      <w:r w:rsidR="0080661B">
        <w:t xml:space="preserve">. Namun begitu, kejatuhan kerajaan Turki Uthmaniyyah dan juga </w:t>
      </w:r>
      <w:r>
        <w:t xml:space="preserve">penjajahan kuasa barat terhadap negara-negara Islam telah melemahkan fungsi dan peranan institusi wakaf sebagai agen pembangunan negara. </w:t>
      </w:r>
      <w:r w:rsidR="00DB1B18" w:rsidRPr="00130EFB">
        <w:t xml:space="preserve">Walaubagaimanapun, di dalam tempoh tiga dekad yang lalu sehingga kini telah menyaksikan umat Islam di beberapa negara seperti Turki, Pakistan, Kuwait dan Malaysia berusaha mengembalikan semula peranan besar institusi wakaf. </w:t>
      </w:r>
    </w:p>
    <w:p w:rsidR="007A01D5" w:rsidRPr="004B7897" w:rsidRDefault="006E1508" w:rsidP="00130EFB">
      <w:pPr>
        <w:pStyle w:val="NormalWeb"/>
        <w:spacing w:line="360" w:lineRule="auto"/>
        <w:rPr>
          <w:lang w:val="ms-MY"/>
        </w:rPr>
      </w:pPr>
      <w:r w:rsidRPr="00130EFB">
        <w:rPr>
          <w:lang w:val="ms-MY"/>
        </w:rPr>
        <w:t>Di Malaysia</w:t>
      </w:r>
      <w:r w:rsidR="006777D2">
        <w:rPr>
          <w:lang w:val="ms-MY"/>
        </w:rPr>
        <w:t>,</w:t>
      </w:r>
      <w:r w:rsidRPr="00130EFB">
        <w:rPr>
          <w:lang w:val="ms-MY"/>
        </w:rPr>
        <w:t xml:space="preserve"> i</w:t>
      </w:r>
      <w:r w:rsidR="006C75A6" w:rsidRPr="00130EFB">
        <w:rPr>
          <w:lang w:val="ms-MY"/>
        </w:rPr>
        <w:t xml:space="preserve">nisiatif untuk membangunkan wakaf korporat telah menjadi satu agenda nasional bagi mempertingkatkan sosio-ekonomi orang Islam. </w:t>
      </w:r>
      <w:r w:rsidR="00824B8A" w:rsidRPr="00130EFB">
        <w:rPr>
          <w:lang w:val="ms-MY"/>
        </w:rPr>
        <w:t xml:space="preserve">Ini dapat dilihat melalui </w:t>
      </w:r>
      <w:r w:rsidR="00824B8A" w:rsidRPr="00130EFB">
        <w:rPr>
          <w:lang w:val="ms-MY"/>
        </w:rPr>
        <w:lastRenderedPageBreak/>
        <w:t>beberapa strategi yang telah digariskan di dalam</w:t>
      </w:r>
      <w:r w:rsidR="006C75A6" w:rsidRPr="00130EFB">
        <w:rPr>
          <w:lang w:val="ms-MY"/>
        </w:rPr>
        <w:t xml:space="preserve"> Bajet 2013 </w:t>
      </w:r>
      <w:r w:rsidR="00824B8A" w:rsidRPr="00130EFB">
        <w:rPr>
          <w:lang w:val="ms-MY"/>
        </w:rPr>
        <w:t xml:space="preserve">seperti penubuhan entiti wakaf korporat </w:t>
      </w:r>
      <w:r w:rsidR="006C75A6" w:rsidRPr="00130EFB">
        <w:rPr>
          <w:lang w:val="ms-MY"/>
        </w:rPr>
        <w:t xml:space="preserve">di peringkat </w:t>
      </w:r>
      <w:r w:rsidR="00824B8A" w:rsidRPr="00130EFB">
        <w:rPr>
          <w:lang w:val="ms-MY"/>
        </w:rPr>
        <w:t xml:space="preserve">nasional dan juga mandat yang diberikan kepada </w:t>
      </w:r>
      <w:r w:rsidR="006C75A6" w:rsidRPr="00130EFB">
        <w:rPr>
          <w:lang w:val="ms-MY"/>
        </w:rPr>
        <w:t xml:space="preserve"> Jabatan Wakaf, Zakat dan Haji (JAWHAR</w:t>
      </w:r>
      <w:r w:rsidR="006777D2">
        <w:rPr>
          <w:lang w:val="ms-MY"/>
        </w:rPr>
        <w:t>)</w:t>
      </w:r>
      <w:r w:rsidR="006C75A6" w:rsidRPr="00130EFB">
        <w:rPr>
          <w:lang w:val="ms-MY"/>
        </w:rPr>
        <w:t xml:space="preserve"> untuk menyediakan pelan asas pembangunan wakaf korporat (MOF, 2012). </w:t>
      </w:r>
      <w:r w:rsidR="007A01D5" w:rsidRPr="00130EFB">
        <w:rPr>
          <w:lang w:val="ms-MY"/>
        </w:rPr>
        <w:t>Peranan e</w:t>
      </w:r>
      <w:r w:rsidR="006C75A6" w:rsidRPr="00130EFB">
        <w:rPr>
          <w:lang w:val="ms-MY"/>
        </w:rPr>
        <w:t xml:space="preserve">ntiti wakaf korporat di dalam membangunkan sejumlah aset wakaf bernilai tinggi kepunyaan </w:t>
      </w:r>
      <w:r w:rsidR="007A01D5" w:rsidRPr="00130EFB">
        <w:rPr>
          <w:lang w:val="ms-MY"/>
        </w:rPr>
        <w:t xml:space="preserve">orang-orang Islam turut </w:t>
      </w:r>
      <w:r w:rsidR="00FD6B96" w:rsidRPr="00130EFB">
        <w:rPr>
          <w:lang w:val="ms-MY"/>
        </w:rPr>
        <w:t xml:space="preserve">menjadi strategi utama pihak berwajib di dalam aspirasi memperkasakan ekonomi bumiputera sepertimana yang </w:t>
      </w:r>
      <w:r w:rsidR="0007395C" w:rsidRPr="00130EFB">
        <w:rPr>
          <w:lang w:val="ms-MY"/>
        </w:rPr>
        <w:t>dinyatakan oleh Perdana Menteri sewaktu melancarkan Majlis Pemerka</w:t>
      </w:r>
      <w:r w:rsidR="00565B2C">
        <w:rPr>
          <w:lang w:val="ms-MY"/>
        </w:rPr>
        <w:t xml:space="preserve">saan Ekonomi Bumiputera 2013 </w:t>
      </w:r>
      <w:r w:rsidR="007A3814">
        <w:t>(</w:t>
      </w:r>
      <w:proofErr w:type="spellStart"/>
      <w:r w:rsidR="00641169">
        <w:t>Teraju</w:t>
      </w:r>
      <w:proofErr w:type="spellEnd"/>
      <w:r w:rsidR="00B61655" w:rsidRPr="00130EFB">
        <w:t xml:space="preserve">, 2013). </w:t>
      </w:r>
      <w:r w:rsidR="004B7897" w:rsidRPr="004B7897">
        <w:rPr>
          <w:lang w:val="ms-MY"/>
        </w:rPr>
        <w:t xml:space="preserve">Selain itu, penubuhan Perbadanan Wakaf Nasional Berhad (PWNB) </w:t>
      </w:r>
      <w:r w:rsidR="00906198">
        <w:rPr>
          <w:lang w:val="ms-MY"/>
        </w:rPr>
        <w:t xml:space="preserve">di bawah Yayasan Wakaf Malaysia (YWM) </w:t>
      </w:r>
      <w:r w:rsidR="004B7897" w:rsidRPr="004B7897">
        <w:rPr>
          <w:lang w:val="ms-MY"/>
        </w:rPr>
        <w:t xml:space="preserve">dan Program Wakaf Korporat pada tahun 2015 </w:t>
      </w:r>
      <w:r w:rsidR="004B7897">
        <w:rPr>
          <w:lang w:val="ms-MY"/>
        </w:rPr>
        <w:t>menunjukkan sokongan pihak kerajaan Malaysia di dalam memb</w:t>
      </w:r>
      <w:r w:rsidR="001D0EAD">
        <w:rPr>
          <w:lang w:val="ms-MY"/>
        </w:rPr>
        <w:t>angunkan konsep wakaf korporat (Utusan, 2015)</w:t>
      </w:r>
    </w:p>
    <w:p w:rsidR="00824B8A" w:rsidRPr="00130EFB" w:rsidRDefault="00824B8A" w:rsidP="00130EFB">
      <w:pPr>
        <w:spacing w:line="360" w:lineRule="auto"/>
      </w:pPr>
      <w:r w:rsidRPr="00130EFB">
        <w:t>Justeru, kertas kerja</w:t>
      </w:r>
      <w:r w:rsidR="00DB1B18" w:rsidRPr="00130EFB">
        <w:t xml:space="preserve"> ini akan me</w:t>
      </w:r>
      <w:r w:rsidRPr="00130EFB">
        <w:t>nganalisa konsep wakaf korporat dan perkembangannya di Malaysia dan negara-negara Islam yang lain</w:t>
      </w:r>
      <w:r w:rsidR="00130EFB" w:rsidRPr="00130EFB">
        <w:t>.</w:t>
      </w:r>
    </w:p>
    <w:p w:rsidR="00D44D71" w:rsidRPr="00D44D71" w:rsidRDefault="00F25F16" w:rsidP="00734FF6">
      <w:pPr>
        <w:pStyle w:val="Heading2"/>
        <w:numPr>
          <w:ilvl w:val="1"/>
          <w:numId w:val="15"/>
        </w:numPr>
        <w:ind w:left="360" w:hanging="360"/>
        <w:rPr>
          <w:rFonts w:ascii="Times New Roman" w:hAnsi="Times New Roman" w:cs="Times New Roman"/>
        </w:rPr>
      </w:pPr>
      <w:bookmarkStart w:id="3" w:name="_Toc345078596"/>
      <w:bookmarkStart w:id="4" w:name="_Toc346890690"/>
      <w:r w:rsidRPr="00AB0B29">
        <w:rPr>
          <w:rFonts w:ascii="Times New Roman" w:hAnsi="Times New Roman" w:cs="Times New Roman"/>
        </w:rPr>
        <w:t>P</w:t>
      </w:r>
      <w:bookmarkEnd w:id="3"/>
      <w:bookmarkEnd w:id="4"/>
      <w:r w:rsidR="00C06366">
        <w:rPr>
          <w:rFonts w:ascii="Times New Roman" w:hAnsi="Times New Roman" w:cs="Times New Roman"/>
        </w:rPr>
        <w:t>ernyataan Masalah</w:t>
      </w:r>
    </w:p>
    <w:p w:rsidR="00B55037" w:rsidRDefault="00827B1B" w:rsidP="00680264">
      <w:pPr>
        <w:spacing w:line="360" w:lineRule="auto"/>
      </w:pPr>
      <w:r>
        <w:t>Aktiviti berwakaf di dalam bentuk harta</w:t>
      </w:r>
      <w:r w:rsidR="00D44D71">
        <w:t xml:space="preserve"> alih seperti </w:t>
      </w:r>
      <w:r w:rsidR="00F2159C">
        <w:t>wang tunai yang semakin popular telah menimbulkan is</w:t>
      </w:r>
      <w:r w:rsidR="00D97718">
        <w:t xml:space="preserve">u-isu seperti </w:t>
      </w:r>
      <w:r w:rsidR="00F2159C">
        <w:t>akauntabiliti</w:t>
      </w:r>
      <w:r w:rsidR="00D97718">
        <w:t>, ketelusan</w:t>
      </w:r>
      <w:r w:rsidR="00F2159C">
        <w:t xml:space="preserve"> dan </w:t>
      </w:r>
      <w:r w:rsidR="00D97718">
        <w:t xml:space="preserve">profesionalisma di dalam pengurusan dana-dana yang terhasil dari </w:t>
      </w:r>
      <w:r w:rsidR="00C06366">
        <w:t>aset-aset terbabit.</w:t>
      </w:r>
      <w:r w:rsidR="0007395C">
        <w:t xml:space="preserve"> </w:t>
      </w:r>
      <w:r w:rsidR="00641169">
        <w:t>Pengurusan dana wakaf tunai melibatkan beberapa aktiviti seperti pengumpulan dana, penyaluran dana dan pelaburan dana yang memerlukan kepakaran, pengalaman dan tadbir urus terbaik pengurusan dana yang merupakan elemen penting sektor korporat. Dengan kemunculan konsep wakaf korporat yang tidak hanya menguruskan aset wakaf tunai sahaja tetapi merangkumi juga saham syarikat yang diwakafkan, keuntungan serta dividen memerlukan kepada struktur tadbir</w:t>
      </w:r>
      <w:r w:rsidR="00CB792A">
        <w:t xml:space="preserve"> urus korporat yang sistematik di dalam pengurusan aet-aset wakaf. </w:t>
      </w:r>
    </w:p>
    <w:p w:rsidR="003907CE" w:rsidRDefault="004B7897" w:rsidP="00680264">
      <w:pPr>
        <w:spacing w:line="360" w:lineRule="auto"/>
      </w:pPr>
      <w:r>
        <w:t xml:space="preserve">Perlulah difahami bahawa aktiviti wakaf tunai dan wakaf korporat adalah melibatkan pengumpulan dana wakaf yang berbentuk aset kewangan yang memerlukan kepada penglibatan pewakaf yang terdiri dari individu, agensi kerajaan, agensi swasta dan entiti korporat. </w:t>
      </w:r>
      <w:r w:rsidR="00B55037">
        <w:t xml:space="preserve">Jika merujuk kepada kajian-kajian tingkahlaku pewakaf untuk berwakaf, </w:t>
      </w:r>
      <w:r>
        <w:t>dapata</w:t>
      </w:r>
      <w:r w:rsidR="00B829AB">
        <w:t>n kajian Amirul Faiz et.al (2015</w:t>
      </w:r>
      <w:r>
        <w:t xml:space="preserve">) terhadap </w:t>
      </w:r>
      <w:r w:rsidR="004376B8">
        <w:t>kecenderungan pewakaf mewakafkan wang tunai di Selangor mendapati faktor kepercayaan (trust) memainkan peranan yang penting. Selain itu menurut Mohamad Zulkh</w:t>
      </w:r>
      <w:r w:rsidR="00BB2064">
        <w:t>a</w:t>
      </w:r>
      <w:r w:rsidR="004376B8">
        <w:t xml:space="preserve">iri (2016) pula aspek penyampaian perkhidmatan </w:t>
      </w:r>
      <w:r w:rsidR="00D757DA">
        <w:t xml:space="preserve">(service delivery) </w:t>
      </w:r>
      <w:r w:rsidR="004376B8">
        <w:t xml:space="preserve">agensi wakaf adalah merupakan di antara faktor pendorong kepada staf di USM </w:t>
      </w:r>
      <w:r w:rsidR="004376B8">
        <w:lastRenderedPageBreak/>
        <w:t xml:space="preserve">terlibat di dalam aktiviti wakaf tunai. </w:t>
      </w:r>
      <w:r w:rsidR="00CB792A">
        <w:t xml:space="preserve">Daripada kajian-kajian di atas, didapati dua faktor utama iaitu kepercayaan (trust) dan </w:t>
      </w:r>
      <w:r w:rsidR="00D757DA">
        <w:t xml:space="preserve">penyampaian perkhidmatan </w:t>
      </w:r>
      <w:r w:rsidR="00CB792A">
        <w:t>(service delivery) amat perlu diambilberat didalam menggalakkan penyertaan lebih ramai pewakaf di dalam aktiviti wakaf.</w:t>
      </w:r>
      <w:r w:rsidR="00BB2064">
        <w:t xml:space="preserve"> </w:t>
      </w:r>
      <w:r w:rsidR="00D757DA">
        <w:t>Kepercayaan pewakaf terhadap kredibiliti dan kemampuan pengurus wakaf di dalam memenuhi aspirasi pewakaf amat perlu diwujudkan dan dipupuk. Manakala aspek penyampaian perkhidmatan (ser</w:t>
      </w:r>
      <w:r w:rsidR="001D0EAD">
        <w:t>vice delivery) pula perlu dikekalkan dan dipertingkatkan dari masa ke semasa</w:t>
      </w:r>
      <w:r w:rsidR="00D757DA">
        <w:t xml:space="preserve">.  </w:t>
      </w:r>
    </w:p>
    <w:p w:rsidR="00281FBF" w:rsidRPr="002C2278" w:rsidRDefault="00EF743F" w:rsidP="00680264">
      <w:pPr>
        <w:spacing w:line="360" w:lineRule="auto"/>
      </w:pPr>
      <w:r>
        <w:t>Di antara objektif utama kajian ini ialah</w:t>
      </w:r>
      <w:r w:rsidR="00734FF6">
        <w:t xml:space="preserve">; pertama, untuk </w:t>
      </w:r>
      <w:r w:rsidR="00734FF6">
        <w:rPr>
          <w:rFonts w:ascii="Times New Roman" w:hAnsi="Times New Roman" w:cs="Times New Roman"/>
        </w:rPr>
        <w:t>m</w:t>
      </w:r>
      <w:r w:rsidRPr="00734FF6">
        <w:rPr>
          <w:rFonts w:ascii="Times New Roman" w:hAnsi="Times New Roman" w:cs="Times New Roman"/>
        </w:rPr>
        <w:t>eng</w:t>
      </w:r>
      <w:r w:rsidR="00CB792A">
        <w:rPr>
          <w:rFonts w:ascii="Times New Roman" w:hAnsi="Times New Roman" w:cs="Times New Roman"/>
        </w:rPr>
        <w:t>analisa konsep wakaf korporat</w:t>
      </w:r>
      <w:r w:rsidR="00734FF6">
        <w:rPr>
          <w:rFonts w:ascii="Times New Roman" w:hAnsi="Times New Roman" w:cs="Times New Roman"/>
        </w:rPr>
        <w:t>, kedua, m</w:t>
      </w:r>
      <w:r w:rsidR="00B245BD" w:rsidRPr="00734FF6">
        <w:rPr>
          <w:rFonts w:ascii="Times New Roman" w:hAnsi="Times New Roman" w:cs="Times New Roman"/>
        </w:rPr>
        <w:t>embincangkan secara terperinci</w:t>
      </w:r>
      <w:r w:rsidR="00CB792A">
        <w:rPr>
          <w:rFonts w:ascii="Times New Roman" w:hAnsi="Times New Roman" w:cs="Times New Roman"/>
        </w:rPr>
        <w:t xml:space="preserve"> model wakaf korporat</w:t>
      </w:r>
      <w:r w:rsidR="00734FF6">
        <w:rPr>
          <w:rFonts w:ascii="Times New Roman" w:hAnsi="Times New Roman" w:cs="Times New Roman"/>
        </w:rPr>
        <w:t>, ketiga, m</w:t>
      </w:r>
      <w:r w:rsidR="00B245BD" w:rsidRPr="00734FF6">
        <w:rPr>
          <w:rFonts w:ascii="Times New Roman" w:hAnsi="Times New Roman" w:cs="Times New Roman"/>
        </w:rPr>
        <w:t xml:space="preserve">eneliti aspek-aspek </w:t>
      </w:r>
      <w:r w:rsidR="00160857" w:rsidRPr="00734FF6">
        <w:rPr>
          <w:rFonts w:ascii="Times New Roman" w:hAnsi="Times New Roman" w:cs="Times New Roman"/>
        </w:rPr>
        <w:t xml:space="preserve">Shariah </w:t>
      </w:r>
      <w:r w:rsidR="00B245BD" w:rsidRPr="00734FF6">
        <w:rPr>
          <w:rFonts w:ascii="Times New Roman" w:hAnsi="Times New Roman" w:cs="Times New Roman"/>
        </w:rPr>
        <w:t>yang terdapat di dalam</w:t>
      </w:r>
      <w:r w:rsidR="00F472AF" w:rsidRPr="00734FF6">
        <w:rPr>
          <w:rFonts w:ascii="Times New Roman" w:hAnsi="Times New Roman" w:cs="Times New Roman"/>
        </w:rPr>
        <w:t xml:space="preserve"> </w:t>
      </w:r>
      <w:r w:rsidR="00CB792A">
        <w:rPr>
          <w:rFonts w:ascii="Times New Roman" w:hAnsi="Times New Roman" w:cs="Times New Roman"/>
        </w:rPr>
        <w:t>wakaf korporat</w:t>
      </w:r>
      <w:r w:rsidR="00620AB5" w:rsidRPr="00734FF6">
        <w:rPr>
          <w:rFonts w:ascii="Times New Roman" w:hAnsi="Times New Roman" w:cs="Times New Roman"/>
        </w:rPr>
        <w:t>.</w:t>
      </w:r>
      <w:r w:rsidR="00D603ED" w:rsidRPr="00D603ED">
        <w:rPr>
          <w:color w:val="FF0000"/>
        </w:rPr>
        <w:t xml:space="preserve"> </w:t>
      </w:r>
      <w:r w:rsidR="00D603ED" w:rsidRPr="002C2278">
        <w:t xml:space="preserve">Kajian ini adalah berbentuk kajian perpustakaan dan sumber maklumat sekunder seperti dokumen-dokumen akan dianalisis untuk mencapai </w:t>
      </w:r>
      <w:r w:rsidR="002C2278" w:rsidRPr="002C2278">
        <w:t>objektif yang telah digariskan.</w:t>
      </w:r>
    </w:p>
    <w:p w:rsidR="00F25F16" w:rsidRPr="00AB0B29" w:rsidRDefault="00F25F16" w:rsidP="00680264">
      <w:pPr>
        <w:pStyle w:val="Heading1"/>
        <w:spacing w:line="360" w:lineRule="auto"/>
        <w:rPr>
          <w:rFonts w:ascii="Times New Roman" w:hAnsi="Times New Roman" w:cs="Times New Roman"/>
        </w:rPr>
      </w:pPr>
      <w:bookmarkStart w:id="5" w:name="_Toc345078598"/>
      <w:bookmarkStart w:id="6" w:name="_Toc346890692"/>
      <w:r w:rsidRPr="00AB0B29">
        <w:rPr>
          <w:rFonts w:ascii="Times New Roman" w:hAnsi="Times New Roman" w:cs="Times New Roman"/>
        </w:rPr>
        <w:t xml:space="preserve">2. </w:t>
      </w:r>
      <w:bookmarkEnd w:id="5"/>
      <w:bookmarkEnd w:id="6"/>
      <w:r w:rsidR="005D2C55">
        <w:rPr>
          <w:rFonts w:ascii="Times New Roman" w:hAnsi="Times New Roman" w:cs="Times New Roman"/>
        </w:rPr>
        <w:t>Sorotan Literatur</w:t>
      </w:r>
    </w:p>
    <w:p w:rsidR="00B245BD" w:rsidRDefault="00B245BD" w:rsidP="00680264">
      <w:pPr>
        <w:spacing w:line="360" w:lineRule="auto"/>
      </w:pPr>
      <w:r>
        <w:t xml:space="preserve">Seksyen ini akan membincangkan sorotan literatur yang berkaitan dengan wakaf dari sudut hukum Islam dan perkembangan semasa institusi wakaf di Malaysia serta perkembangan wakaf korporat secara praktikal. </w:t>
      </w:r>
    </w:p>
    <w:p w:rsidR="00F25F16" w:rsidRDefault="00F25F16" w:rsidP="00680264">
      <w:pPr>
        <w:pStyle w:val="Heading2"/>
        <w:spacing w:line="360" w:lineRule="auto"/>
        <w:rPr>
          <w:iCs/>
        </w:rPr>
      </w:pPr>
      <w:bookmarkStart w:id="7" w:name="_Toc346890693"/>
      <w:bookmarkStart w:id="8" w:name="_Toc345078610"/>
      <w:r w:rsidRPr="00AB0B29">
        <w:t xml:space="preserve">2.1 </w:t>
      </w:r>
      <w:bookmarkEnd w:id="7"/>
      <w:r w:rsidR="00C06366">
        <w:rPr>
          <w:iCs/>
        </w:rPr>
        <w:t>Konsep Wakaf</w:t>
      </w:r>
    </w:p>
    <w:p w:rsidR="00C63F59" w:rsidRDefault="00C06366" w:rsidP="00680264">
      <w:pPr>
        <w:spacing w:line="360" w:lineRule="auto"/>
      </w:pPr>
      <w:r>
        <w:t xml:space="preserve">Wakaf jika ditinjau dari sudut bahasa adalah bermaksud menahan atau menegah. Definisi wakaf menurut </w:t>
      </w:r>
      <w:r w:rsidR="00FB45E5">
        <w:t>hukum syara’</w:t>
      </w:r>
      <w:r w:rsidR="007D60EE">
        <w:t xml:space="preserve"> ialah</w:t>
      </w:r>
      <w:r w:rsidR="00FB45E5">
        <w:t xml:space="preserve"> wakaf merupakan </w:t>
      </w:r>
      <w:r w:rsidR="00FB45E5" w:rsidRPr="000E53B5">
        <w:t>suatu bentuk pemberian</w:t>
      </w:r>
      <w:r w:rsidR="00FB45E5" w:rsidRPr="00E1676E">
        <w:rPr>
          <w:color w:val="FF0000"/>
        </w:rPr>
        <w:t xml:space="preserve"> </w:t>
      </w:r>
      <w:r w:rsidR="00FB45E5">
        <w:t xml:space="preserve">yang mana fizikal aset terbabit kekal manakala manfaat yang diperolehi daripada aset terbabit disalurkan kepada penerima tertakluk kepada syarat-syarat yang ditetapkan oleh pewakaf. Pengekalan fizikal aset wakaf bermaksud mana-mana harta yang telah diwakafkan </w:t>
      </w:r>
      <w:r w:rsidR="00F159E6">
        <w:t xml:space="preserve">tidak boleh diwariskan, dijual beli, dijadikan hadiah, dipajak, disewa atau apa-apa bentuk pemilikan. Penyaluran manfaat harta-harta wakaf pula merujuk kepada pemberian hasil-hasil yang diperolehi daripada aset terbabit kepada penerima yang telah ditetapkan oleh </w:t>
      </w:r>
      <w:r w:rsidR="007D60EE">
        <w:t>pe</w:t>
      </w:r>
      <w:r w:rsidR="00F159E6">
        <w:t>wakaf tanpa mengharapkan imbuhan kewangan</w:t>
      </w:r>
      <w:r w:rsidR="00D757DA">
        <w:t xml:space="preserve"> </w:t>
      </w:r>
      <w:r w:rsidR="00D757DA">
        <w:fldChar w:fldCharType="begin" w:fldLock="1"/>
      </w:r>
      <w:r w:rsidR="00D97718">
        <w:instrText>ADDIN CSL_CITATION { "citationItems" : [ { "id" : "ITEM-1", "itemData" : { "author" : [ { "dropping-particle" : "", "family" : "Kahf", "given" : "Monzer", "non-dropping-particle" : "", "parse-names" : false, "suffix" : "" } ], "id" : "ITEM-1", "issued" : { "date-parts" : [ [ "1999" ] ] }, "title" : "Waqf and its sociopolitical aspects by monzer kahf", "type" : "article-journal" }, "uris" : [ "http://www.mendeley.com/documents/?uuid=cf0f5767-669f-40cb-b78b-40e34e6d28a6" ] } ], "mendeley" : { "formattedCitation" : "(Kahf, 1999)", "manualFormatting" : "(Kahf, 1999; Abu Zahrah, 1985)", "plainTextFormattedCitation" : "(Kahf, 1999)", "previouslyFormattedCitation" : "(Kahf, 1999)" }, "properties" : { "noteIndex" : 0 }, "schema" : "https://github.com/citation-style-language/schema/raw/master/csl-citation.json" }</w:instrText>
      </w:r>
      <w:r w:rsidR="00D757DA">
        <w:fldChar w:fldCharType="separate"/>
      </w:r>
      <w:r w:rsidR="00D757DA" w:rsidRPr="00D757DA">
        <w:rPr>
          <w:noProof/>
        </w:rPr>
        <w:t>(Kahf, 1999</w:t>
      </w:r>
      <w:r w:rsidR="001D0EAD">
        <w:rPr>
          <w:noProof/>
        </w:rPr>
        <w:t xml:space="preserve">; Abu Zahrah, </w:t>
      </w:r>
      <w:r w:rsidR="00D97718">
        <w:rPr>
          <w:noProof/>
        </w:rPr>
        <w:t>1985</w:t>
      </w:r>
      <w:r w:rsidR="00D757DA" w:rsidRPr="00D757DA">
        <w:rPr>
          <w:noProof/>
        </w:rPr>
        <w:t>)</w:t>
      </w:r>
      <w:r w:rsidR="00D757DA">
        <w:fldChar w:fldCharType="end"/>
      </w:r>
      <w:r w:rsidR="00F159E6">
        <w:t xml:space="preserve">. Justeru, secara teknikalnya wakaf boleh diertikan sebagai suatu bentuk penyerahan harta yang boleh digunakan bagi tujuan tertentu dengan syarat aset tersebut mestilah kekal dan tidak boleh dipindah milik </w:t>
      </w:r>
      <w:r w:rsidR="00C63F59">
        <w:t>serta manfaat atau hasil yang diperolehi daripada aset terbabit disalurkan kepada aktiviti-aktiviti kebajikan bagi mendapat keredhaan Allah.</w:t>
      </w:r>
    </w:p>
    <w:p w:rsidR="00F25F16" w:rsidRPr="006F185E" w:rsidRDefault="00C63F59" w:rsidP="00680264">
      <w:pPr>
        <w:spacing w:line="360" w:lineRule="auto"/>
        <w:rPr>
          <w:rFonts w:ascii="Times New Roman" w:hAnsi="Times New Roman" w:cs="Times New Roman"/>
        </w:rPr>
      </w:pPr>
      <w:r>
        <w:lastRenderedPageBreak/>
        <w:t>Secara umumnya, wakaf boleh dibahagikan kepada beberapa kategori daripada tiga aspek khusus, iaitu; penerima manfaat wakaf, tujuan wakaf, dan jenis aset wakaf. Meruju</w:t>
      </w:r>
      <w:r w:rsidR="00B1082A">
        <w:t xml:space="preserve">k kepada penerima manfaat wakaf, </w:t>
      </w:r>
      <w:r>
        <w:t xml:space="preserve">ianya boleh dibahagikan kepada dua jenis iaitu wakaf yang berbentuk kebajikan umum </w:t>
      </w:r>
      <w:r w:rsidRPr="00C63F59">
        <w:rPr>
          <w:i/>
        </w:rPr>
        <w:t>(</w:t>
      </w:r>
      <w:r w:rsidRPr="00C63F59">
        <w:rPr>
          <w:rFonts w:ascii="Times New Roman" w:hAnsi="Times New Roman" w:cs="Times New Roman"/>
          <w:i/>
          <w:iCs/>
        </w:rPr>
        <w:t>waqf khayri)</w:t>
      </w:r>
      <w:r>
        <w:t xml:space="preserve"> dan wakaf khusus untuk ahli keluarga</w:t>
      </w:r>
      <w:r w:rsidRPr="00C63F59">
        <w:rPr>
          <w:rFonts w:ascii="Times New Roman" w:hAnsi="Times New Roman" w:cs="Times New Roman"/>
          <w:i/>
          <w:iCs/>
          <w:color w:val="C00000"/>
        </w:rPr>
        <w:t xml:space="preserve"> </w:t>
      </w:r>
      <w:r w:rsidRPr="00C63F59">
        <w:rPr>
          <w:rFonts w:ascii="Times New Roman" w:hAnsi="Times New Roman" w:cs="Times New Roman"/>
          <w:i/>
          <w:iCs/>
        </w:rPr>
        <w:t>(waqf ahli/dhurri)</w:t>
      </w:r>
      <w:r w:rsidRPr="00C63F59">
        <w:rPr>
          <w:i/>
        </w:rPr>
        <w:t>.</w:t>
      </w:r>
      <w:r>
        <w:t xml:space="preserve">   Kategori waqf ahli/dhurri merujuk kepada </w:t>
      </w:r>
      <w:r w:rsidR="003F75B1">
        <w:t xml:space="preserve">manfaat </w:t>
      </w:r>
      <w:r>
        <w:t>aset waka</w:t>
      </w:r>
      <w:r w:rsidR="003F75B1">
        <w:t>f yang hanya diserahkan kepada ahli keluarga dan keturunan pewakaf sahaja. Bagi aspek tujuan wakaf pula boleh dibahagikan kepada dua kategori; wakaf umum atau am</w:t>
      </w:r>
      <w:r w:rsidR="003F75B1" w:rsidRPr="003F75B1">
        <w:rPr>
          <w:rFonts w:ascii="Times New Roman" w:hAnsi="Times New Roman" w:cs="Times New Roman"/>
          <w:i/>
          <w:iCs/>
          <w:color w:val="C00000"/>
        </w:rPr>
        <w:t xml:space="preserve"> </w:t>
      </w:r>
      <w:r w:rsidR="003F75B1" w:rsidRPr="003F75B1">
        <w:rPr>
          <w:rFonts w:ascii="Times New Roman" w:hAnsi="Times New Roman" w:cs="Times New Roman"/>
          <w:i/>
          <w:iCs/>
        </w:rPr>
        <w:t>(waqf am)</w:t>
      </w:r>
      <w:r w:rsidR="003F75B1" w:rsidRPr="003F75B1">
        <w:t>,</w:t>
      </w:r>
      <w:r w:rsidR="003F75B1">
        <w:t xml:space="preserve"> dan, wakaf khusus</w:t>
      </w:r>
      <w:r w:rsidR="003F75B1" w:rsidRPr="003F75B1">
        <w:rPr>
          <w:rFonts w:ascii="Times New Roman" w:hAnsi="Times New Roman" w:cs="Times New Roman"/>
          <w:i/>
          <w:iCs/>
          <w:color w:val="C00000"/>
        </w:rPr>
        <w:t xml:space="preserve"> </w:t>
      </w:r>
      <w:r w:rsidR="003F75B1" w:rsidRPr="003F75B1">
        <w:rPr>
          <w:rFonts w:ascii="Times New Roman" w:hAnsi="Times New Roman" w:cs="Times New Roman"/>
          <w:i/>
          <w:iCs/>
        </w:rPr>
        <w:t>(waqf khass)</w:t>
      </w:r>
      <w:r w:rsidR="003F75B1" w:rsidRPr="003F75B1">
        <w:t>.</w:t>
      </w:r>
      <w:r w:rsidR="003F75B1">
        <w:t xml:space="preserve"> Manakala jika ditinjau dari sudut jenis aset-aset wakaf ianya terbahagi kepada dua jenis iaitu aset wakaf alih </w:t>
      </w:r>
      <w:r w:rsidR="003F75B1" w:rsidRPr="003F75B1">
        <w:t>(</w:t>
      </w:r>
      <w:r w:rsidR="003F75B1" w:rsidRPr="003F75B1">
        <w:rPr>
          <w:rFonts w:ascii="Times New Roman" w:hAnsi="Times New Roman" w:cs="Times New Roman"/>
          <w:i/>
          <w:iCs/>
        </w:rPr>
        <w:t>waqf al-manqul)</w:t>
      </w:r>
      <w:r w:rsidR="003F75B1" w:rsidRPr="003F75B1">
        <w:rPr>
          <w:rFonts w:ascii="Times New Roman" w:hAnsi="Times New Roman" w:cs="Times New Roman"/>
        </w:rPr>
        <w:t xml:space="preserve"> </w:t>
      </w:r>
      <w:r w:rsidR="003F75B1" w:rsidRPr="003F75B1">
        <w:t>dan aset wakaf tak alih</w:t>
      </w:r>
      <w:r w:rsidR="003F75B1" w:rsidRPr="003F75B1">
        <w:rPr>
          <w:rFonts w:ascii="Times New Roman" w:hAnsi="Times New Roman" w:cs="Times New Roman"/>
          <w:i/>
          <w:iCs/>
        </w:rPr>
        <w:t xml:space="preserve"> (waqf al-</w:t>
      </w:r>
      <w:r w:rsidR="003F75B1" w:rsidRPr="003F75B1">
        <w:rPr>
          <w:rFonts w:ascii="Times New Roman" w:hAnsi="Times New Roman" w:cs="Times New Roman"/>
          <w:i/>
          <w:iCs/>
          <w:vertAlign w:val="superscript"/>
        </w:rPr>
        <w:t>c</w:t>
      </w:r>
      <w:r w:rsidR="003F75B1" w:rsidRPr="003F75B1">
        <w:rPr>
          <w:rFonts w:ascii="Times New Roman" w:hAnsi="Times New Roman" w:cs="Times New Roman"/>
          <w:i/>
          <w:iCs/>
        </w:rPr>
        <w:t>aqar)</w:t>
      </w:r>
      <w:r w:rsidR="003F75B1" w:rsidRPr="003F75B1">
        <w:t xml:space="preserve">. </w:t>
      </w:r>
      <w:r w:rsidR="003F75B1">
        <w:t xml:space="preserve">Waqf al-manqul adalah aset-aset wakaf yang boleh dipindahkan dari suatu tempat ke suatu yang lain seperti </w:t>
      </w:r>
      <w:r w:rsidR="009C0481">
        <w:t>wang tunai yang merupakan aset wakaf yang amat popular pada masa kini</w:t>
      </w:r>
      <w:r w:rsidR="00B1082A">
        <w:t xml:space="preserve"> </w:t>
      </w:r>
      <w:r w:rsidR="00D452DD" w:rsidRPr="009C0481">
        <w:rPr>
          <w:rFonts w:ascii="Times New Roman" w:hAnsi="Times New Roman" w:cs="Times New Roman"/>
        </w:rPr>
        <w:fldChar w:fldCharType="begin"/>
      </w:r>
      <w:r w:rsidR="00160857" w:rsidRPr="009C0481">
        <w:rPr>
          <w:rFonts w:ascii="Times New Roman" w:hAnsi="Times New Roman" w:cs="Times New Roman"/>
        </w:rPr>
        <w:instrText xml:space="preserve"> ADDIN EN.CITE &lt;EndNote&gt;&lt;Cite&gt;&lt;Author&gt;Abdullaah Jalil&lt;/Author&gt;&lt;Year&gt;2008&lt;/Year&gt;&lt;RecNum&gt;48&lt;/RecNum&gt;&lt;DisplayText&gt;(Abdullaah Jalil and Asharaf Mohd. Ramli, 2008)&lt;/DisplayText&gt;&lt;record&gt;&lt;rec-number&gt;48&lt;/rec-number&gt;&lt;foreign-keys&gt;&lt;key app="EN" db-id="9rdw0fde5dss9be5z2svrrxfvxr5x95awwdw"&gt;48&lt;/key&gt;&lt;/foreign-keys&gt;&lt;ref-type name="Journal Article"&gt;17&lt;/ref-type&gt;&lt;contributors&gt;&lt;authors&gt;&lt;author&gt;Abdullaah Jalil,&lt;/author&gt;&lt;author&gt;Asharaf Mohd. Ramli,&lt;/author&gt;&lt;/authors&gt;&lt;/contributors&gt;&lt;titles&gt;&lt;title&gt;Waqf Instruments for Construction Contract: An Analysis of Structure&lt;/title&gt;&lt;secondary-title&gt;The Journal of Muamalat and Islamic Finance Research (JMIFR)&lt;/secondary-title&gt;&lt;/titles&gt;&lt;periodical&gt;&lt;full-title&gt;The Journal of Muamalat and Islamic Finance Research (JMIFR)&lt;/full-title&gt;&lt;/periodical&gt;&lt;pages&gt;14&lt;/pages&gt;&lt;volume&gt;5&lt;/volume&gt;&lt;number&gt;1&lt;/number&gt;&lt;section&gt;183&lt;/section&gt;&lt;dates&gt;&lt;year&gt;2008&lt;/year&gt;&lt;/dates&gt;&lt;isbn&gt;1823-075X&lt;/isbn&gt;&lt;urls&gt;&lt;/urls&gt;&lt;/record&gt;&lt;/Cite&gt;&lt;/EndNote&gt;</w:instrText>
      </w:r>
      <w:r w:rsidR="00D452DD" w:rsidRPr="009C0481">
        <w:rPr>
          <w:rFonts w:ascii="Times New Roman" w:hAnsi="Times New Roman" w:cs="Times New Roman"/>
        </w:rPr>
        <w:fldChar w:fldCharType="separate"/>
      </w:r>
      <w:r w:rsidR="00160857" w:rsidRPr="009C0481">
        <w:rPr>
          <w:rFonts w:ascii="Times New Roman" w:hAnsi="Times New Roman" w:cs="Times New Roman"/>
        </w:rPr>
        <w:t>(</w:t>
      </w:r>
      <w:hyperlink w:anchor="_ENREF_1" w:tooltip="Abdullaah Jalil, 2008 #48" w:history="1">
        <w:r w:rsidR="000A59C3" w:rsidRPr="009C0481">
          <w:rPr>
            <w:rFonts w:ascii="Times New Roman" w:hAnsi="Times New Roman" w:cs="Times New Roman"/>
          </w:rPr>
          <w:t>Abdullaah Jalil and Asharaf Mohd. Ramli, 2008</w:t>
        </w:r>
      </w:hyperlink>
      <w:r w:rsidR="00160857" w:rsidRPr="009C0481">
        <w:rPr>
          <w:rFonts w:ascii="Times New Roman" w:hAnsi="Times New Roman" w:cs="Times New Roman"/>
        </w:rPr>
        <w:t>)</w:t>
      </w:r>
      <w:r w:rsidR="00D452DD" w:rsidRPr="009C0481">
        <w:rPr>
          <w:rFonts w:ascii="Times New Roman" w:hAnsi="Times New Roman" w:cs="Times New Roman"/>
        </w:rPr>
        <w:fldChar w:fldCharType="end"/>
      </w:r>
      <w:r w:rsidR="00F25F16" w:rsidRPr="009C0481">
        <w:rPr>
          <w:rFonts w:ascii="Times New Roman" w:hAnsi="Times New Roman" w:cs="Times New Roman"/>
        </w:rPr>
        <w:t xml:space="preserve">. </w:t>
      </w:r>
      <w:r w:rsidR="009C0481">
        <w:rPr>
          <w:rFonts w:ascii="Times New Roman" w:hAnsi="Times New Roman" w:cs="Times New Roman"/>
        </w:rPr>
        <w:t xml:space="preserve">Mazhab Hanafi tidak membenarkan waqf al-manqul kecuali dengan tiga syarat berikut; pertama, aset wakaf alih terbabit merupakan sebahagian daripada aset wakaf tak alih, kedua, terdapat dalil-dalil daripada al-Quran dan al-Sunnah yang membenarkannya seperti wakaf pedang dan kuda, ketiga, amalan wakaf tersebut adalah diterima oleh adat setempat  </w:t>
      </w:r>
      <w:r w:rsidR="009C0481" w:rsidRPr="009C0481">
        <w:rPr>
          <w:rFonts w:ascii="Times New Roman" w:hAnsi="Times New Roman" w:cs="Times New Roman"/>
          <w:i/>
        </w:rPr>
        <w:t>(</w:t>
      </w:r>
      <w:r w:rsidR="009C0481" w:rsidRPr="009C0481">
        <w:rPr>
          <w:rFonts w:ascii="Times New Roman" w:hAnsi="Times New Roman" w:cs="Times New Roman"/>
          <w:i/>
          <w:iCs/>
        </w:rPr>
        <w:t>al-</w:t>
      </w:r>
      <w:r w:rsidR="009C0481" w:rsidRPr="009C0481">
        <w:rPr>
          <w:rFonts w:ascii="Times New Roman" w:hAnsi="Times New Roman" w:cs="Times New Roman"/>
          <w:i/>
          <w:iCs/>
          <w:vertAlign w:val="superscript"/>
        </w:rPr>
        <w:t>c</w:t>
      </w:r>
      <w:r w:rsidR="009C0481" w:rsidRPr="009C0481">
        <w:rPr>
          <w:rFonts w:ascii="Times New Roman" w:hAnsi="Times New Roman" w:cs="Times New Roman"/>
          <w:i/>
          <w:iCs/>
        </w:rPr>
        <w:t>urf</w:t>
      </w:r>
      <w:r w:rsidR="009C0481" w:rsidRPr="009C0481">
        <w:rPr>
          <w:rFonts w:ascii="Times New Roman" w:hAnsi="Times New Roman" w:cs="Times New Roman"/>
          <w:i/>
        </w:rPr>
        <w:t>)</w:t>
      </w:r>
      <w:r w:rsidR="009C0481" w:rsidRPr="009C0481">
        <w:rPr>
          <w:rFonts w:ascii="Times New Roman" w:hAnsi="Times New Roman" w:cs="Times New Roman"/>
        </w:rPr>
        <w:t xml:space="preserve"> seperti wakaf buku dan wang tunai.</w:t>
      </w:r>
      <w:r w:rsidR="009C0481">
        <w:rPr>
          <w:rFonts w:ascii="Times New Roman" w:hAnsi="Times New Roman" w:cs="Times New Roman"/>
          <w:color w:val="C00000"/>
        </w:rPr>
        <w:t xml:space="preserve"> </w:t>
      </w:r>
      <w:r w:rsidR="009C0481" w:rsidRPr="00E87B1A">
        <w:rPr>
          <w:rFonts w:ascii="Times New Roman" w:hAnsi="Times New Roman" w:cs="Times New Roman"/>
        </w:rPr>
        <w:t>Menurut majoriti ulama’</w:t>
      </w:r>
      <w:r w:rsidR="00B1082A">
        <w:rPr>
          <w:rFonts w:ascii="Times New Roman" w:hAnsi="Times New Roman" w:cs="Times New Roman"/>
        </w:rPr>
        <w:t>,</w:t>
      </w:r>
      <w:r w:rsidR="009C0481" w:rsidRPr="00E87B1A">
        <w:rPr>
          <w:rFonts w:ascii="Times New Roman" w:hAnsi="Times New Roman" w:cs="Times New Roman"/>
        </w:rPr>
        <w:t xml:space="preserve"> wakaf yang dilakukan mestilah berbentuk selama-lamanya iaitu tidak tertakluk kepada tempoh tertentu. Namun, Mazhab Maliki berpandangan bahawa wakaf boleh dilakukan di dalam tempoh tertentu </w:t>
      </w:r>
      <w:r w:rsidR="00E87B1A" w:rsidRPr="00E87B1A">
        <w:rPr>
          <w:rFonts w:ascii="Times New Roman" w:hAnsi="Times New Roman" w:cs="Times New Roman"/>
        </w:rPr>
        <w:t>seperti mewakafkan rumah untuk tempoh setahun kemudian dipulangkan semula kepada pewakaf apabila sampai tempohnya</w:t>
      </w:r>
      <w:r w:rsidR="00E87B1A">
        <w:rPr>
          <w:rFonts w:ascii="Times New Roman" w:hAnsi="Times New Roman" w:cs="Times New Roman"/>
        </w:rPr>
        <w:t xml:space="preserve"> </w:t>
      </w:r>
      <w:r w:rsidR="00D452DD" w:rsidRPr="006F185E">
        <w:rPr>
          <w:rFonts w:ascii="Times New Roman" w:hAnsi="Times New Roman" w:cs="Times New Roman"/>
        </w:rPr>
        <w:fldChar w:fldCharType="begin"/>
      </w:r>
      <w:r w:rsidR="00042224" w:rsidRPr="006F185E">
        <w:rPr>
          <w:rFonts w:ascii="Times New Roman" w:hAnsi="Times New Roman" w:cs="Times New Roman"/>
        </w:rPr>
        <w:instrText xml:space="preserve"> ADDIN EN.CITE &lt;EndNote&gt;&lt;Cite&gt;&lt;Author&gt;al-Zuhayli&lt;/Author&gt;&lt;Year&gt;1997&lt;/Year&gt;&lt;RecNum&gt;34&lt;/RecNum&gt;&lt;DisplayText&gt;(al-Zuhayli, 1997)&lt;/DisplayText&gt;&lt;record&gt;&lt;rec-number&gt;34&lt;/rec-number&gt;&lt;foreign-keys&gt;&lt;key app="EN" db-id="avp0txxshtfdsletf02v9ztyptrr95z52d9v"&gt;34&lt;/key&gt;&lt;/foreign-keys&gt;&lt;ref-type name="Book"&gt;6&lt;/ref-type&gt;&lt;contributors&gt;&lt;authors&gt;&lt;author&gt;Wahbah al-Zuhayli&lt;/author&gt;&lt;/authors&gt;&lt;/contributors&gt;&lt;titles&gt;&lt;title&gt;al-Fiqh al-Islamiyy wa adillatuh&lt;/title&gt;&lt;/titles&gt;&lt;dates&gt;&lt;year&gt;1997&lt;/year&gt;&lt;/dates&gt;&lt;pub-location&gt;Dimashq&lt;/pub-location&gt;&lt;publisher&gt;Dar al-Fikr&lt;/publisher&gt;&lt;isbn&gt;1-57547-365-8&lt;/isbn&gt;&lt;urls&gt;&lt;/urls&gt;&lt;/record&gt;&lt;/Cite&gt;&lt;/EndNote&gt;</w:instrText>
      </w:r>
      <w:r w:rsidR="00D452DD" w:rsidRPr="006F185E">
        <w:rPr>
          <w:rFonts w:ascii="Times New Roman" w:hAnsi="Times New Roman" w:cs="Times New Roman"/>
        </w:rPr>
        <w:fldChar w:fldCharType="separate"/>
      </w:r>
      <w:r w:rsidR="00042224" w:rsidRPr="006F185E">
        <w:rPr>
          <w:rFonts w:ascii="Times New Roman" w:hAnsi="Times New Roman" w:cs="Times New Roman"/>
          <w:noProof/>
        </w:rPr>
        <w:t>(</w:t>
      </w:r>
      <w:hyperlink w:anchor="_ENREF_2" w:tooltip="al-Zuhayli, 1997 #34" w:history="1">
        <w:r w:rsidR="000A59C3" w:rsidRPr="006F185E">
          <w:rPr>
            <w:rFonts w:ascii="Times New Roman" w:hAnsi="Times New Roman" w:cs="Times New Roman"/>
            <w:noProof/>
          </w:rPr>
          <w:t>al-Zuhayli, 1997</w:t>
        </w:r>
      </w:hyperlink>
      <w:r w:rsidR="00042224" w:rsidRPr="006F185E">
        <w:rPr>
          <w:rFonts w:ascii="Times New Roman" w:hAnsi="Times New Roman" w:cs="Times New Roman"/>
          <w:noProof/>
        </w:rPr>
        <w:t>)</w:t>
      </w:r>
      <w:r w:rsidR="00D452DD" w:rsidRPr="006F185E">
        <w:rPr>
          <w:rFonts w:ascii="Times New Roman" w:hAnsi="Times New Roman" w:cs="Times New Roman"/>
        </w:rPr>
        <w:fldChar w:fldCharType="end"/>
      </w:r>
      <w:r w:rsidR="00F25F16" w:rsidRPr="006F185E">
        <w:rPr>
          <w:rFonts w:ascii="Times New Roman" w:hAnsi="Times New Roman" w:cs="Times New Roman"/>
        </w:rPr>
        <w:t>.</w:t>
      </w:r>
      <w:r w:rsidR="00F25F16" w:rsidRPr="006F185E">
        <w:rPr>
          <w:rFonts w:ascii="Times New Roman" w:hAnsi="Times New Roman" w:cs="Times New Roman"/>
          <w:color w:val="C00000"/>
        </w:rPr>
        <w:t xml:space="preserve"> </w:t>
      </w:r>
      <w:r w:rsidR="00651F1F" w:rsidRPr="0010046D">
        <w:rPr>
          <w:rFonts w:ascii="Times New Roman" w:hAnsi="Times New Roman" w:cs="Times New Roman"/>
        </w:rPr>
        <w:t>Amalan pemberian aset-aset oleh pihak pemerintah untuk tujuan kebajikan masyarakat umum seperti  penganugerahan tanah-tanah</w:t>
      </w:r>
      <w:r w:rsidR="00651F1F" w:rsidRPr="00B56029">
        <w:rPr>
          <w:rFonts w:ascii="Times New Roman" w:hAnsi="Times New Roman" w:cs="Times New Roman"/>
          <w:color w:val="FF0000"/>
        </w:rPr>
        <w:t xml:space="preserve"> </w:t>
      </w:r>
      <w:r w:rsidR="00651F1F" w:rsidRPr="006F185E">
        <w:rPr>
          <w:rFonts w:ascii="Times New Roman" w:hAnsi="Times New Roman" w:cs="Times New Roman"/>
        </w:rPr>
        <w:t>bagi t</w:t>
      </w:r>
      <w:r w:rsidR="00B1082A" w:rsidRPr="006F185E">
        <w:rPr>
          <w:rFonts w:ascii="Times New Roman" w:hAnsi="Times New Roman" w:cs="Times New Roman"/>
        </w:rPr>
        <w:t>u</w:t>
      </w:r>
      <w:r w:rsidR="00651F1F" w:rsidRPr="006F185E">
        <w:rPr>
          <w:rFonts w:ascii="Times New Roman" w:hAnsi="Times New Roman" w:cs="Times New Roman"/>
        </w:rPr>
        <w:t>juan pembinaan sekolah dan hospital dikenali sebagai irsad bukannya wakaf.</w:t>
      </w:r>
    </w:p>
    <w:p w:rsidR="00EE48B3" w:rsidRDefault="00651F1F" w:rsidP="00680264">
      <w:pPr>
        <w:spacing w:line="360" w:lineRule="auto"/>
        <w:rPr>
          <w:rFonts w:ascii="Times New Roman" w:hAnsi="Times New Roman" w:cs="Times New Roman"/>
        </w:rPr>
      </w:pPr>
      <w:r>
        <w:rPr>
          <w:rFonts w:ascii="Times New Roman" w:hAnsi="Times New Roman" w:cs="Times New Roman"/>
        </w:rPr>
        <w:t xml:space="preserve">Terdapat tiga struktur atau model wakaf seperti aset fizikal wakaf, wakaf tunai dan wakaf korporat (yang dipelopori oleh JCorp) </w:t>
      </w:r>
      <w:r w:rsidR="00D452DD" w:rsidRPr="00651F1F">
        <w:rPr>
          <w:rFonts w:ascii="Times New Roman" w:hAnsi="Times New Roman" w:cs="Times New Roman"/>
        </w:rPr>
        <w:fldChar w:fldCharType="begin"/>
      </w:r>
      <w:r w:rsidRPr="00651F1F">
        <w:rPr>
          <w:rFonts w:ascii="Times New Roman" w:hAnsi="Times New Roman" w:cs="Times New Roman"/>
        </w:rPr>
        <w:instrText xml:space="preserve"> ADDIN EN.CITE &lt;EndNote&gt;&lt;Cite&gt;&lt;Author&gt;Hajah Mustafa Mohd. Hanefah&lt;/Author&gt;&lt;Year&gt;2010&lt;/Year&gt;&lt;RecNum&gt;85&lt;/RecNum&gt;&lt;DisplayText&gt;(Hajah Mustafa Mohd. Hanefah et al., 2010)&lt;/DisplayText&gt;&lt;record&gt;&lt;rec-number&gt;85&lt;/rec-number&gt;&lt;foreign-keys&gt;&lt;key app="EN" db-id="9rdw0fde5dss9be5z2svrrxfvxr5x95awwdw"&gt;85&lt;/key&gt;&lt;/foreign-keys&gt;&lt;ref-type name="Conference Proceedings"&gt;10&lt;/ref-type&gt;&lt;contributors&gt;&lt;authors&gt;&lt;author&gt;Hajah Mustafa Mohd. Hanefah,&lt;/author&gt;&lt;author&gt;Abdullaah Jalil,&lt;/author&gt;&lt;author&gt;Asharaf Mohd. Ramli,&lt;/author&gt;&lt;author&gt;Hisham Sabri,&lt;/author&gt;&lt;author&gt;Norhaziah Nawai,&lt;/author&gt;&lt;author&gt;Syahidawati Syahwan,&lt;/author&gt;&lt;/authors&gt;&lt;/contributors&gt;&lt;titles&gt;&lt;title&gt;Waqf Models in Iskandar Malaysia: An Analysis&lt;/title&gt;&lt;secondary-title&gt;4th Islamic Banking, Accounting and Finance Seminar&lt;/secondary-title&gt;&lt;/titles&gt;&lt;dates&gt;&lt;year&gt;2010&lt;/year&gt;&lt;pub-dates&gt;&lt;date&gt;March 13-14&lt;/date&gt;&lt;/pub-dates&gt;&lt;/dates&gt;&lt;pub-location&gt;Gombak&lt;/pub-location&gt;&lt;publisher&gt;International Islamic University Malaysia&lt;/publisher&gt;&lt;urls&gt;&lt;/urls&gt;&lt;/record&gt;&lt;/Cite&gt;&lt;/EndNote&gt;</w:instrText>
      </w:r>
      <w:r w:rsidR="00D452DD" w:rsidRPr="00651F1F">
        <w:rPr>
          <w:rFonts w:ascii="Times New Roman" w:hAnsi="Times New Roman" w:cs="Times New Roman"/>
        </w:rPr>
        <w:fldChar w:fldCharType="separate"/>
      </w:r>
      <w:r w:rsidRPr="00651F1F">
        <w:rPr>
          <w:rFonts w:ascii="Times New Roman" w:hAnsi="Times New Roman" w:cs="Times New Roman"/>
          <w:noProof/>
        </w:rPr>
        <w:t>(</w:t>
      </w:r>
      <w:hyperlink w:anchor="_ENREF_6" w:tooltip="Hajah Mustafa Mohd. Hanefah, 2010 #85" w:history="1">
        <w:r w:rsidR="006F185E">
          <w:t xml:space="preserve">Cizakca, 2011; </w:t>
        </w:r>
        <w:r w:rsidRPr="00651F1F">
          <w:rPr>
            <w:rFonts w:ascii="Times New Roman" w:hAnsi="Times New Roman" w:cs="Times New Roman"/>
            <w:noProof/>
          </w:rPr>
          <w:t>Hajah Mustafa Mohd. Hanefah et al., 2010</w:t>
        </w:r>
      </w:hyperlink>
      <w:r w:rsidRPr="00651F1F">
        <w:rPr>
          <w:rFonts w:ascii="Times New Roman" w:hAnsi="Times New Roman" w:cs="Times New Roman"/>
          <w:noProof/>
        </w:rPr>
        <w:t>)</w:t>
      </w:r>
      <w:r w:rsidR="00D452DD" w:rsidRPr="00651F1F">
        <w:rPr>
          <w:rFonts w:ascii="Times New Roman" w:hAnsi="Times New Roman" w:cs="Times New Roman"/>
        </w:rPr>
        <w:fldChar w:fldCharType="end"/>
      </w:r>
      <w:r>
        <w:rPr>
          <w:rFonts w:ascii="Times New Roman" w:hAnsi="Times New Roman" w:cs="Times New Roman"/>
        </w:rPr>
        <w:t xml:space="preserve">. </w:t>
      </w:r>
      <w:r w:rsidR="00B1082A">
        <w:rPr>
          <w:rFonts w:ascii="Times New Roman" w:hAnsi="Times New Roman" w:cs="Times New Roman"/>
        </w:rPr>
        <w:t xml:space="preserve">Model aset fizikal wakaf </w:t>
      </w:r>
      <w:r w:rsidR="00EE48B3">
        <w:rPr>
          <w:rFonts w:ascii="Times New Roman" w:hAnsi="Times New Roman" w:cs="Times New Roman"/>
        </w:rPr>
        <w:t xml:space="preserve">merujuk kepada </w:t>
      </w:r>
      <w:r w:rsidR="00B1082A">
        <w:rPr>
          <w:rFonts w:ascii="Times New Roman" w:hAnsi="Times New Roman" w:cs="Times New Roman"/>
        </w:rPr>
        <w:t xml:space="preserve">aset-aset wakaf seperti </w:t>
      </w:r>
      <w:r w:rsidR="00EE48B3">
        <w:rPr>
          <w:rFonts w:ascii="Times New Roman" w:hAnsi="Times New Roman" w:cs="Times New Roman"/>
        </w:rPr>
        <w:t xml:space="preserve">tanah dan </w:t>
      </w:r>
      <w:r w:rsidR="00B1082A">
        <w:rPr>
          <w:rFonts w:ascii="Times New Roman" w:hAnsi="Times New Roman" w:cs="Times New Roman"/>
        </w:rPr>
        <w:t>bangunan yang diwakafkan dan aset ini digunakan</w:t>
      </w:r>
      <w:r w:rsidR="00EE48B3">
        <w:rPr>
          <w:rFonts w:ascii="Times New Roman" w:hAnsi="Times New Roman" w:cs="Times New Roman"/>
        </w:rPr>
        <w:t xml:space="preserve"> bagi tujuan kebajikan seperti pemb</w:t>
      </w:r>
      <w:r w:rsidR="006F185E">
        <w:rPr>
          <w:rFonts w:ascii="Times New Roman" w:hAnsi="Times New Roman" w:cs="Times New Roman"/>
        </w:rPr>
        <w:t xml:space="preserve">inaan masjid dan sekolah agama. </w:t>
      </w:r>
      <w:r w:rsidR="00EE48B3">
        <w:rPr>
          <w:rFonts w:ascii="Times New Roman" w:hAnsi="Times New Roman" w:cs="Times New Roman"/>
        </w:rPr>
        <w:t>Terdapat juga keadaan di mana aset-aset yang diwakafkan dibangunkan bagi menjana pendapatan seperti tanah yang didirikan bangunan komersil yang kemudiannya disewakan. Hasil sewaan tersebut akan dimasukkan semula ke dalam dana wakaf dan disalurkan kepada penerima</w:t>
      </w:r>
      <w:r w:rsidR="00B907D8">
        <w:rPr>
          <w:rFonts w:ascii="Times New Roman" w:hAnsi="Times New Roman" w:cs="Times New Roman"/>
        </w:rPr>
        <w:t>-</w:t>
      </w:r>
      <w:r w:rsidR="006F185E">
        <w:rPr>
          <w:rFonts w:ascii="Times New Roman" w:hAnsi="Times New Roman" w:cs="Times New Roman"/>
        </w:rPr>
        <w:t xml:space="preserve">penerima yang layak. Model wakaf tunai pula merujuk kepada </w:t>
      </w:r>
      <w:r w:rsidR="006F185E">
        <w:rPr>
          <w:rFonts w:ascii="Times New Roman" w:hAnsi="Times New Roman" w:cs="Times New Roman"/>
        </w:rPr>
        <w:lastRenderedPageBreak/>
        <w:t>pengumpulan wakaf tunai, pelaburan dan penyerahan manfaat kepada penerima. Manakala model korporat akan dibincang</w:t>
      </w:r>
      <w:r w:rsidR="00D97718">
        <w:rPr>
          <w:rFonts w:ascii="Times New Roman" w:hAnsi="Times New Roman" w:cs="Times New Roman"/>
        </w:rPr>
        <w:t>kan secara terperinci pada subtopik</w:t>
      </w:r>
      <w:r w:rsidR="006F185E">
        <w:rPr>
          <w:rFonts w:ascii="Times New Roman" w:hAnsi="Times New Roman" w:cs="Times New Roman"/>
        </w:rPr>
        <w:t xml:space="preserve"> yang berikutnya. </w:t>
      </w:r>
    </w:p>
    <w:p w:rsidR="00491048" w:rsidRPr="00B907D8" w:rsidRDefault="006F185E" w:rsidP="00680264">
      <w:pPr>
        <w:pStyle w:val="Heading2"/>
        <w:spacing w:line="360" w:lineRule="auto"/>
        <w:rPr>
          <w:iCs/>
        </w:rPr>
      </w:pPr>
      <w:r>
        <w:t>2.2</w:t>
      </w:r>
      <w:r w:rsidR="00491048" w:rsidRPr="00B907D8">
        <w:t xml:space="preserve"> </w:t>
      </w:r>
      <w:r w:rsidR="00040EFE" w:rsidRPr="00B907D8">
        <w:t>Konsep Wakaf Korporat</w:t>
      </w:r>
    </w:p>
    <w:p w:rsidR="00EE39D4" w:rsidRDefault="00040EFE" w:rsidP="00680264">
      <w:pPr>
        <w:spacing w:line="360" w:lineRule="auto"/>
      </w:pPr>
      <w:r>
        <w:t xml:space="preserve">Wakaf korporat merujuk </w:t>
      </w:r>
      <w:r w:rsidR="00696FA7">
        <w:t xml:space="preserve">kepada </w:t>
      </w:r>
      <w:r w:rsidR="00EE39D4">
        <w:t>penyerahan harta seperti wang tunai, saham, keuntungan dan dividen oleh pewakaf yang terdiri daripada individu, syarikat, perbadanan, organisasi atau institusi serta penyaluran manfaat secara berterusan untuk kemaslahatan masyarakat (Magda, 2013). Definisi ini memberikan konotasi bahawa wakaf korporat</w:t>
      </w:r>
      <w:r w:rsidR="00696FA7">
        <w:t xml:space="preserve"> jika dilihat dari sudut aset adalah merupakan sebahagian daripada wakaf tunai iaitu pewakaf mewakafkan harta tak alih seperti wang tunai, saham, keuntungan dan juga dividen. Penyerahan aset-aset seperti saham, keuntungan dan dividen kebiasaannya boleh dilakukan oleh pihak syarikat dan perbadanan.</w:t>
      </w:r>
    </w:p>
    <w:p w:rsidR="006C7940" w:rsidRDefault="00696FA7" w:rsidP="00680264">
      <w:pPr>
        <w:spacing w:line="360" w:lineRule="auto"/>
      </w:pPr>
      <w:r>
        <w:t xml:space="preserve">Asharaf dan Abdullah (2013) pula memberikan takrifan wakaf korporat sebagai </w:t>
      </w:r>
      <w:r w:rsidR="008C6713">
        <w:t xml:space="preserve">penubuhan </w:t>
      </w:r>
      <w:r w:rsidR="006F185E">
        <w:t xml:space="preserve">dan pengurusan aset </w:t>
      </w:r>
      <w:r w:rsidR="008C6713">
        <w:t xml:space="preserve">wakaf </w:t>
      </w:r>
      <w:r w:rsidR="006F185E">
        <w:t>serta</w:t>
      </w:r>
      <w:r w:rsidR="006C7940">
        <w:t xml:space="preserve"> penyaluran manfaat wakaf oleh sesebuah entiti korporat secara bersendirian ataupun melalui kerjasama dengan pihak-pihak lain. Melalui takrifan ini, pihak entiti korporat akan terlibat secara langsung di dalam ketiga-tiga aspek penubuhan aset</w:t>
      </w:r>
      <w:r w:rsidR="0003774C">
        <w:t xml:space="preserve"> wakaf</w:t>
      </w:r>
      <w:r w:rsidR="006C7940">
        <w:t xml:space="preserve">, pengurusan aset </w:t>
      </w:r>
      <w:r w:rsidR="0003774C">
        <w:t xml:space="preserve">wakaf </w:t>
      </w:r>
      <w:r w:rsidR="006C7940">
        <w:t xml:space="preserve">dan juga penyaluran </w:t>
      </w:r>
      <w:r w:rsidR="0003774C">
        <w:t>manfaat wakaf</w:t>
      </w:r>
      <w:r w:rsidR="006C7940">
        <w:t xml:space="preserve"> kepada penerima-penerima yang telah ditentukan </w:t>
      </w:r>
      <w:r w:rsidR="0003774C">
        <w:t xml:space="preserve">mengikut hujah wakaf. Terdapat empat </w:t>
      </w:r>
      <w:r w:rsidR="00106595">
        <w:t xml:space="preserve">ciri utama wakaf korporat iaitu penubuhan dan pengurusan aset wakaf, penyaluran manfaat wakaf, pewakaf yang terdiri daripada entiti korporat, dan juga penglibatan entiti korporat secara bersendirian ataupun dengan kerjasama pihak-pihak lain. </w:t>
      </w:r>
    </w:p>
    <w:p w:rsidR="00106595" w:rsidRDefault="00106595" w:rsidP="00680264">
      <w:pPr>
        <w:spacing w:line="360" w:lineRule="auto"/>
      </w:pPr>
      <w:r>
        <w:t>Awqaf Holdings (2017) sebagai sebuah entiti wakaf korporat pula telah menggunakan terminologi waqaf korporat bagi menerangkan konsep wakaf korporat yang diperkenalkannya sepertimana yang terkandung di dalam Memorandum Awqaf. Menurut Memorandum A</w:t>
      </w:r>
      <w:r w:rsidR="00F77021">
        <w:t>WQAF</w:t>
      </w:r>
      <w:r>
        <w:t xml:space="preserve"> waqaf korporat merujuk kepada </w:t>
      </w:r>
      <w:r w:rsidRPr="00106595">
        <w:t>sebuah syarikat, iaitu organisasi korporat bersumberkan dana wakaf sumbangan masyarakat, bertujuan untuk dilaburkan ke dalam bisnes yang menguntungkan, supaya semua keuntungan dan pertambahan nilai dijadikan aset wakaf milik kekal AWQA</w:t>
      </w:r>
      <w:r w:rsidR="00F77021">
        <w:t xml:space="preserve">F. Daripada definisi ini, waqaf korporat adalah merujuk kepada sebuah syarikat yang ditubuhkan bagi mengurus dana wakaf dan seterusnya menyalurkannya kepada penerima. Terdapat lapan ciri-ciri waqaf korporat yang telah digariskan iaitu, penubuhan syarikat, mutawalli, diberi kuasa, amalan korporat terbaik, mengumpul dan memelihara sumber, keusahawanan, penglibatan aam dan prinsip syariah. </w:t>
      </w:r>
    </w:p>
    <w:p w:rsidR="006F185E" w:rsidRDefault="00D3752F" w:rsidP="00680264">
      <w:pPr>
        <w:spacing w:line="360" w:lineRule="auto"/>
      </w:pPr>
      <w:r>
        <w:lastRenderedPageBreak/>
        <w:t>Daripada ketiga-tiga definisi ini didapati terdapat beberapa persamaan seperti aset-aset wakaf korporat terdiri daripada aset kewangan seperti wang tunai, saham, keuntungan dan dividen. Daripada aspek pengurusan pula aset</w:t>
      </w:r>
      <w:r w:rsidR="00AE58EA">
        <w:t>-</w:t>
      </w:r>
      <w:r>
        <w:t>aset wakaf yang ditubuhkan akan diurus</w:t>
      </w:r>
      <w:r w:rsidR="008C6713">
        <w:t>kan</w:t>
      </w:r>
      <w:r>
        <w:t xml:space="preserve"> oleh entiti korporat yang juga bertanggungjawab untuk menyalurkan manfaat wakaf kepada penerima. </w:t>
      </w:r>
    </w:p>
    <w:p w:rsidR="006F185E" w:rsidRDefault="006F185E" w:rsidP="006F185E">
      <w:pPr>
        <w:pStyle w:val="Heading3"/>
      </w:pPr>
      <w:r>
        <w:t>2.3.1</w:t>
      </w:r>
      <w:r w:rsidR="00AE58EA">
        <w:t xml:space="preserve">Ciri-ciri wakaf korporat </w:t>
      </w:r>
    </w:p>
    <w:p w:rsidR="00D3752F" w:rsidRDefault="006F185E" w:rsidP="00680264">
      <w:pPr>
        <w:spacing w:line="360" w:lineRule="auto"/>
      </w:pPr>
      <w:r>
        <w:t xml:space="preserve">Berpandukan definisi wakaf korporat yang dikemukakan </w:t>
      </w:r>
      <w:r w:rsidR="008C6713">
        <w:t>oleh Abdullah dan Asharaf (2013) iaitu</w:t>
      </w:r>
      <w:r w:rsidRPr="006F185E">
        <w:t xml:space="preserve"> </w:t>
      </w:r>
      <w:r>
        <w:t xml:space="preserve">wakaf korporat sebagai </w:t>
      </w:r>
      <w:r w:rsidR="008C6713">
        <w:t>penubuhan</w:t>
      </w:r>
      <w:r>
        <w:t xml:space="preserve"> dan pengurusan aset </w:t>
      </w:r>
      <w:r w:rsidR="008C6713">
        <w:t xml:space="preserve">wakaf </w:t>
      </w:r>
      <w:r>
        <w:t>serta penyaluran manfaat wakaf oleh sesebuah entiti korporat secara bersendirian ataupun melalui kerjasama dengan pihak-pihak lain, maka tedapat empat ciri wakaf seperti yang dinyatakan dalam Jadual 1 di bawah</w:t>
      </w:r>
      <w:r w:rsidR="00AE58EA">
        <w:t>:</w:t>
      </w:r>
    </w:p>
    <w:p w:rsidR="00B829AB" w:rsidRPr="00B829AB" w:rsidRDefault="00B829AB" w:rsidP="00B829AB">
      <w:pPr>
        <w:spacing w:after="0" w:line="360" w:lineRule="auto"/>
        <w:jc w:val="center"/>
        <w:rPr>
          <w:b/>
          <w:sz w:val="22"/>
        </w:rPr>
      </w:pPr>
      <w:r w:rsidRPr="00B829AB">
        <w:rPr>
          <w:b/>
          <w:sz w:val="22"/>
        </w:rPr>
        <w:t>Jadual 1: Ciri-ciri Wakaf Korporat</w:t>
      </w:r>
    </w:p>
    <w:tbl>
      <w:tblPr>
        <w:tblStyle w:val="TableGrid"/>
        <w:tblW w:w="0" w:type="auto"/>
        <w:tblLook w:val="04A0" w:firstRow="1" w:lastRow="0" w:firstColumn="1" w:lastColumn="0" w:noHBand="0" w:noVBand="1"/>
      </w:tblPr>
      <w:tblGrid>
        <w:gridCol w:w="4508"/>
        <w:gridCol w:w="4508"/>
      </w:tblGrid>
      <w:tr w:rsidR="006F185E" w:rsidTr="006F185E">
        <w:tc>
          <w:tcPr>
            <w:tcW w:w="4508" w:type="dxa"/>
          </w:tcPr>
          <w:p w:rsidR="006F185E" w:rsidRPr="00B829AB" w:rsidRDefault="006F185E" w:rsidP="002C2278">
            <w:pPr>
              <w:spacing w:line="240" w:lineRule="auto"/>
              <w:rPr>
                <w:b/>
                <w:sz w:val="22"/>
              </w:rPr>
            </w:pPr>
            <w:r w:rsidRPr="00B829AB">
              <w:rPr>
                <w:b/>
                <w:sz w:val="22"/>
              </w:rPr>
              <w:t>Ciri-ciri</w:t>
            </w:r>
          </w:p>
        </w:tc>
        <w:tc>
          <w:tcPr>
            <w:tcW w:w="4508" w:type="dxa"/>
          </w:tcPr>
          <w:p w:rsidR="006F185E" w:rsidRPr="00B829AB" w:rsidRDefault="006F185E" w:rsidP="002C2278">
            <w:pPr>
              <w:spacing w:line="240" w:lineRule="auto"/>
              <w:rPr>
                <w:b/>
                <w:sz w:val="22"/>
              </w:rPr>
            </w:pPr>
            <w:r w:rsidRPr="00B829AB">
              <w:rPr>
                <w:b/>
                <w:sz w:val="22"/>
              </w:rPr>
              <w:t>Penerangan</w:t>
            </w:r>
          </w:p>
        </w:tc>
      </w:tr>
      <w:tr w:rsidR="006F185E" w:rsidTr="006F185E">
        <w:tc>
          <w:tcPr>
            <w:tcW w:w="4508" w:type="dxa"/>
          </w:tcPr>
          <w:p w:rsidR="006F185E" w:rsidRPr="00B829AB" w:rsidRDefault="006F185E" w:rsidP="002C2278">
            <w:pPr>
              <w:spacing w:line="240" w:lineRule="auto"/>
              <w:rPr>
                <w:sz w:val="22"/>
              </w:rPr>
            </w:pPr>
            <w:r w:rsidRPr="00B829AB">
              <w:rPr>
                <w:sz w:val="22"/>
              </w:rPr>
              <w:t>Penubuhan dan Pengurusan Aset Wakaf</w:t>
            </w:r>
          </w:p>
        </w:tc>
        <w:tc>
          <w:tcPr>
            <w:tcW w:w="4508" w:type="dxa"/>
          </w:tcPr>
          <w:p w:rsidR="006F185E" w:rsidRPr="00B829AB" w:rsidRDefault="006F185E" w:rsidP="002C2278">
            <w:pPr>
              <w:spacing w:line="240" w:lineRule="auto"/>
              <w:rPr>
                <w:sz w:val="22"/>
              </w:rPr>
            </w:pPr>
            <w:r w:rsidRPr="00B829AB">
              <w:rPr>
                <w:sz w:val="22"/>
              </w:rPr>
              <w:t xml:space="preserve">Aset wakaf berupa aset kewangan seperti wang tunai dan saham yang ditubuhkan dan diuruskan oleh entiti korporat. </w:t>
            </w:r>
          </w:p>
        </w:tc>
      </w:tr>
      <w:tr w:rsidR="006F185E" w:rsidTr="006F185E">
        <w:tc>
          <w:tcPr>
            <w:tcW w:w="4508" w:type="dxa"/>
          </w:tcPr>
          <w:p w:rsidR="006F185E" w:rsidRPr="00B829AB" w:rsidRDefault="006F185E" w:rsidP="002C2278">
            <w:pPr>
              <w:spacing w:line="240" w:lineRule="auto"/>
              <w:rPr>
                <w:sz w:val="22"/>
              </w:rPr>
            </w:pPr>
            <w:r w:rsidRPr="00B829AB">
              <w:rPr>
                <w:sz w:val="22"/>
              </w:rPr>
              <w:t>Penyaluran Manfaat Wakaf</w:t>
            </w:r>
          </w:p>
        </w:tc>
        <w:tc>
          <w:tcPr>
            <w:tcW w:w="4508" w:type="dxa"/>
          </w:tcPr>
          <w:p w:rsidR="006F185E" w:rsidRPr="00B829AB" w:rsidRDefault="006F185E" w:rsidP="002C2278">
            <w:pPr>
              <w:spacing w:line="240" w:lineRule="auto"/>
              <w:rPr>
                <w:sz w:val="22"/>
              </w:rPr>
            </w:pPr>
            <w:r w:rsidRPr="00B829AB">
              <w:rPr>
                <w:sz w:val="22"/>
              </w:rPr>
              <w:t>Pewakaf iaitu entiti korporat boleh menjadi penerima tunggal atau sebahagian daripada penerima aset wakaf.</w:t>
            </w:r>
          </w:p>
        </w:tc>
      </w:tr>
      <w:tr w:rsidR="006F185E" w:rsidTr="006F185E">
        <w:tc>
          <w:tcPr>
            <w:tcW w:w="4508" w:type="dxa"/>
          </w:tcPr>
          <w:p w:rsidR="006F185E" w:rsidRPr="00B829AB" w:rsidRDefault="006F185E" w:rsidP="002C2278">
            <w:pPr>
              <w:spacing w:line="240" w:lineRule="auto"/>
              <w:rPr>
                <w:sz w:val="22"/>
              </w:rPr>
            </w:pPr>
            <w:r w:rsidRPr="00B829AB">
              <w:rPr>
                <w:sz w:val="22"/>
              </w:rPr>
              <w:t>Pengamalan Tadbirurus Korporat</w:t>
            </w:r>
          </w:p>
        </w:tc>
        <w:tc>
          <w:tcPr>
            <w:tcW w:w="4508" w:type="dxa"/>
          </w:tcPr>
          <w:p w:rsidR="006F185E" w:rsidRPr="00B829AB" w:rsidRDefault="006F185E" w:rsidP="002C2278">
            <w:pPr>
              <w:spacing w:line="240" w:lineRule="auto"/>
              <w:rPr>
                <w:sz w:val="22"/>
              </w:rPr>
            </w:pPr>
            <w:r w:rsidRPr="00B829AB">
              <w:rPr>
                <w:sz w:val="22"/>
              </w:rPr>
              <w:t xml:space="preserve">Pengamalan etika tadbirurus korporat seperti akauntabiliti, transparensi dan professionalisma. Laporan kewangan tahunan perlu disediakan. </w:t>
            </w:r>
          </w:p>
        </w:tc>
      </w:tr>
      <w:tr w:rsidR="006F185E" w:rsidTr="006F185E">
        <w:tc>
          <w:tcPr>
            <w:tcW w:w="4508" w:type="dxa"/>
          </w:tcPr>
          <w:p w:rsidR="006F185E" w:rsidRPr="00B829AB" w:rsidRDefault="006F185E" w:rsidP="002C2278">
            <w:pPr>
              <w:spacing w:line="240" w:lineRule="auto"/>
              <w:rPr>
                <w:sz w:val="22"/>
              </w:rPr>
            </w:pPr>
            <w:r w:rsidRPr="00B829AB">
              <w:rPr>
                <w:sz w:val="22"/>
              </w:rPr>
              <w:t>Pematuhan Undang-Undang Negara dan Shariah</w:t>
            </w:r>
          </w:p>
        </w:tc>
        <w:tc>
          <w:tcPr>
            <w:tcW w:w="4508" w:type="dxa"/>
          </w:tcPr>
          <w:p w:rsidR="006F185E" w:rsidRPr="00B829AB" w:rsidRDefault="006F185E" w:rsidP="002C2278">
            <w:pPr>
              <w:spacing w:line="240" w:lineRule="auto"/>
              <w:rPr>
                <w:sz w:val="22"/>
              </w:rPr>
            </w:pPr>
            <w:r w:rsidRPr="00B829AB">
              <w:rPr>
                <w:sz w:val="22"/>
              </w:rPr>
              <w:t>Penubuhan dan pengurusan wakaf mestilah berasaskan perundangan negara dan mematuhi Shariah</w:t>
            </w:r>
          </w:p>
        </w:tc>
      </w:tr>
    </w:tbl>
    <w:p w:rsidR="006F185E" w:rsidRPr="00106595" w:rsidRDefault="006F185E" w:rsidP="00680264">
      <w:pPr>
        <w:spacing w:line="360" w:lineRule="auto"/>
      </w:pPr>
    </w:p>
    <w:p w:rsidR="0003774C" w:rsidRPr="003E4E4D" w:rsidRDefault="003E4E4D" w:rsidP="006F185E">
      <w:pPr>
        <w:spacing w:line="360" w:lineRule="auto"/>
      </w:pPr>
      <w:r>
        <w:t>Dari sudut penubuhan dan pengurusan aset wakaf, p</w:t>
      </w:r>
      <w:r w:rsidR="0003774C" w:rsidRPr="003E4E4D">
        <w:t xml:space="preserve">ihak entiti korporat akan </w:t>
      </w:r>
      <w:r>
        <w:t>bertindak sebagai pewakaf dengan mewakafkan aset-asetnya yang boleh ter</w:t>
      </w:r>
      <w:r w:rsidR="0003774C" w:rsidRPr="003E4E4D">
        <w:t>diri daripada aset kewangan seperti wang tunai dan saham ataupun aset bukan kewangan seperti rumah dan bangunan. Dalam waktu yang sama, pihak entiti korporat tersebut boleh melantik dirinya sebagai pemegang amanah atau mutawwali/nazir</w:t>
      </w:r>
      <w:r w:rsidRPr="003E4E4D">
        <w:t xml:space="preserve"> yang bertanggungjawab untuk mengurus dan melaburkan aset wakaf. </w:t>
      </w:r>
    </w:p>
    <w:p w:rsidR="00AE58EA" w:rsidRDefault="003E4E4D" w:rsidP="006F185E">
      <w:pPr>
        <w:spacing w:line="360" w:lineRule="auto"/>
      </w:pPr>
      <w:r>
        <w:t>Bagi penyaluran manfaat wakaf pula, pewakaf iaitu entiti korporat boleh melantik dirinya sendiri sebagai penerima tunggal manfaat wakaf ataupun salah satu daripada penerima manfaat wakaf. Ciri ini akan memberikan fle</w:t>
      </w:r>
      <w:r w:rsidR="008D0DE5">
        <w:t>k</w:t>
      </w:r>
      <w:r>
        <w:t xml:space="preserve">sibiliti kepada pengurus wakaf untuk mengurus, mengguna dan menyalurkan semula manfaat wakaf tersebut. Di dalam </w:t>
      </w:r>
      <w:r>
        <w:lastRenderedPageBreak/>
        <w:t>perundangan Islam, kaedah ini dikenali sebagai ‘al-Wakif ‘ala al-Wakif’ yang bermaksud pewakaf adalah juga penerima manfaat wakaf. Sebahagian fuqaha’ memberikan kelonggaran kepada pewak</w:t>
      </w:r>
      <w:r w:rsidR="008D0DE5">
        <w:t>af untuk turut men</w:t>
      </w:r>
      <w:r>
        <w:t xml:space="preserve">erima manfaat wakaf. </w:t>
      </w:r>
      <w:r w:rsidR="008D0DE5">
        <w:t>Selepas menerima manfaat wakaf, pewakaf boleh menyalurkan hasil wakaf tersebut kepada penerima sebenar yang terdiri daripada orang miskin, institusi Islam seperti masjid dan lain-lain. Ini akan me</w:t>
      </w:r>
      <w:r w:rsidR="00AE58EA">
        <w:t xml:space="preserve">mberikan fleksibiliti kepada entiti korporat untuk pengurusan dan penggunaan manfaat. Fleksibiliti ini amat penting untuk menarik minat pihak entiti korporat untuk terlibat di dalam aktiviti wakaf. Selaku pewakaf dan penerima manfaat wakaf, entiti korporat terbabit boleh membuat perancangan tentang agihan manfaat wakaf secara kreatif dan produktif bergantung kepada keperluan mereka dan juga keperluan masyarakat. Sebagai contoh, di dalam keadaan ekonomi yang merudum yang secara langsung menyebabkan entiti korporat berada di dalam keadaan kewangan yang meruncing maka mereka boleh menggunakan manfaat wakaf bagi menstabilkan kewangan syarikat dan tidak perlu menyalurkan manfaat wakaf. Kaedah ini </w:t>
      </w:r>
      <w:r w:rsidR="00446122">
        <w:t xml:space="preserve">adalah merupakan memasukkan elemen bisnes ke dalam tabarru’ konsep. </w:t>
      </w:r>
    </w:p>
    <w:p w:rsidR="00446122" w:rsidRPr="00446122" w:rsidRDefault="00446122" w:rsidP="006F185E">
      <w:pPr>
        <w:spacing w:line="360" w:lineRule="auto"/>
      </w:pPr>
      <w:r w:rsidRPr="00446122">
        <w:t>Entiti korporat</w:t>
      </w:r>
      <w:r>
        <w:t xml:space="preserve"> adalah merupakan pewakaf yang menubuhkan wakaf korporat dan terlibat didalam aktiviti penghasilan dana melalui jualan dan pelaburan. Sebagai sebuah entiti korporat maka pihak ini juga mengamalkan etika tadbir urus korporat sep</w:t>
      </w:r>
      <w:r w:rsidR="00B829AB">
        <w:t>erti akauntabiliti, ketelusan</w:t>
      </w:r>
      <w:r>
        <w:t xml:space="preserve"> dan professionalisme di dalam menguruskan dana wakaf dan menyalurkan manfaat wakaf kepada penerima. </w:t>
      </w:r>
      <w:r w:rsidR="006F185E">
        <w:t xml:space="preserve">Maklumat berkenaaan laporan kewangan perlu disediakan sebagai salah satu aspek akauntabiliti dan transparensi yang akan memupuk kepercayaan pemegang taruh seperti terhadap integriti pengurus wakaf. </w:t>
      </w:r>
    </w:p>
    <w:p w:rsidR="00446122" w:rsidRDefault="00446122" w:rsidP="006F185E">
      <w:pPr>
        <w:spacing w:line="360" w:lineRule="auto"/>
      </w:pPr>
      <w:r>
        <w:t xml:space="preserve">Bergantung kepada struktur perundangan sesebuah negara, entiti korporat bolehlah secara bersendirian menubuhkan, mengurus dan menyalurkan manfaat wakaf kepada penerima. Walaubagaimanapun terdapat negara yang menetapkan bahawa pihak swasta dan entiti korporat yang terlibat di dalam aktiviti wakaf hendaklah mendapatkan kerjasama daripada pihak-pihak berwajib. </w:t>
      </w:r>
      <w:r w:rsidR="006F185E">
        <w:t>Di samping itu pematuhan kepada Shariah perlulah diambil berat terutam</w:t>
      </w:r>
      <w:r w:rsidR="00B829AB">
        <w:t>a</w:t>
      </w:r>
      <w:r w:rsidR="006F185E">
        <w:t xml:space="preserve">nya di dalam aspek pelaburan aset wakaf. </w:t>
      </w:r>
    </w:p>
    <w:p w:rsidR="006C7940" w:rsidRDefault="006F185E" w:rsidP="006F185E">
      <w:pPr>
        <w:pStyle w:val="Heading1"/>
      </w:pPr>
      <w:r>
        <w:t>3.</w:t>
      </w:r>
      <w:r w:rsidR="00D35A28">
        <w:t xml:space="preserve"> Perkembangan Wakaf Korporat</w:t>
      </w:r>
      <w:r w:rsidR="00711ED1">
        <w:t xml:space="preserve"> di </w:t>
      </w:r>
      <w:r>
        <w:t>Negara</w:t>
      </w:r>
      <w:r w:rsidR="00711ED1">
        <w:t xml:space="preserve"> Islam</w:t>
      </w:r>
    </w:p>
    <w:p w:rsidR="006F185E" w:rsidRDefault="006F185E" w:rsidP="006F185E">
      <w:pPr>
        <w:spacing w:line="360" w:lineRule="auto"/>
      </w:pPr>
      <w:r>
        <w:t xml:space="preserve">Penglibatan sektor korporat di dalam amalan wakaf bermula apabila negara-negara Islam yang baru terlepas dari cengkaman penjajah mula menyusun struktur ekonomi berasaskan </w:t>
      </w:r>
      <w:r>
        <w:lastRenderedPageBreak/>
        <w:t xml:space="preserve">struktur ekonomi Islam dengan pengenalan perbankan dan kewangan Islam, pemerkasaan institusi baitulmal </w:t>
      </w:r>
      <w:r w:rsidR="00B829AB">
        <w:t>serta</w:t>
      </w:r>
      <w:r>
        <w:t xml:space="preserve"> penyusunan institusi zakat dan wakaf. Senario ini turut berlaku di negara minoriti umat Islam dimana entiti korporat kepunyaan Muslim telah terlibat didalam penubuhan dan pengurusan aset wakaf. Di antara fokus penyaluran manfaat wakaf merangkumi aspek pendidikan, kesihatan dan lain-lain. </w:t>
      </w:r>
    </w:p>
    <w:p w:rsidR="006F185E" w:rsidRDefault="006F185E" w:rsidP="006F185E">
      <w:pPr>
        <w:spacing w:line="360" w:lineRule="auto"/>
      </w:pPr>
      <w:r>
        <w:t>Dua konglomerat terkemuka Turki iaitu Koc Holdings dan Sabanci Holdings adalah dianggap sebagai antara syarikat korporat terawal yang terlibat di dalam aktiviti wakaf korporat iaitu pada perte</w:t>
      </w:r>
      <w:r w:rsidR="00B829AB">
        <w:t>ngahan tahun enam puluhan (M</w:t>
      </w:r>
      <w:r w:rsidR="00AB7F83">
        <w:t>agda</w:t>
      </w:r>
      <w:r>
        <w:t xml:space="preserve">, 2009; Cizakca, 2011). Koc Holdings yang mempunyai sekitar 500 anak syarikat telah mewakafkan sebahagian saham syarikat yang dimilikinya dan menfokuskan penyaluran manfaat wakaf kepada pembiayaan sektor institusi pengajian tinggi iaitu universiti dan kemudahan biasiswa kepada pelajar-pelajar. Sebuah entiti wakaf korporat telah ditubuhkan iaitu Koc Foundation bagi mengurus aset wakaf dan menyalurkan manfaat wakaf kepada penerima (Cizakca, 2011). </w:t>
      </w:r>
    </w:p>
    <w:p w:rsidR="006F185E" w:rsidRDefault="006F185E" w:rsidP="006F185E">
      <w:pPr>
        <w:spacing w:line="360" w:lineRule="auto"/>
      </w:pPr>
      <w:r>
        <w:t xml:space="preserve">Penubuhan wakaf korporat bagi tujuan pembiayaan pendidikan dan kesihatan telah dilaksanakan oleh Hamdard Laboratories di Pakistan  yang menyerahkan keuntungan yang dimiliki oleh pihak syarikat sebagai wakaf. Hamdard Foundation adalah sebuah entiti korporat yang telah ditubuhkan bagi menguruskan aset wakaf yang diperolehi dan menyerahkan manfaat kepada penerima. Penerima-penerima manfaat terdiri daripada orang miskin dan golongan yang memerlukan bagi membiayai kos pendidikan dan kesihatan (Magda, 2009). </w:t>
      </w:r>
    </w:p>
    <w:p w:rsidR="006F185E" w:rsidRDefault="006F185E" w:rsidP="006F185E">
      <w:pPr>
        <w:spacing w:line="360" w:lineRule="auto"/>
      </w:pPr>
      <w:r>
        <w:t xml:space="preserve">Di Bangladesh, sebuah institusi perbankan iaitu Social Investment Bank of Bangladesh (SIBL) bermula pada tahun 1995 telah memperkenalkan skim pembiayaan mikro yang berasaskan wakaf. Skim yang dikenali sebagai “cash waqf certificate” memberi peluang kepada individu dan organisasi untuk berwakaf secara tunai dan sejumlah wang yang dikumpulkan akan diagihkan kepada individu-individu yang layak untuk memulakan perniagaan kecil sederhana (PKS) (Mannan, 2008).  Pembiayaan mikro berasaskan wakaf tunai yang dilaksanakan oleh SIBL telah membantu usahawan-usahawan Islam di Bangladesh memulakan perniagaan mereka. Berbeza dengan model wakaf korporat di negara-negara lain, SIBL telah bertindak sebagai entiti wakaf dengan mengurus, melabur dan menyerahkan manfaat wakaf kepada penerima.  </w:t>
      </w:r>
    </w:p>
    <w:p w:rsidR="00B40561" w:rsidRDefault="006F185E" w:rsidP="006F185E">
      <w:pPr>
        <w:spacing w:line="360" w:lineRule="auto"/>
      </w:pPr>
      <w:r>
        <w:lastRenderedPageBreak/>
        <w:t xml:space="preserve">Melalui perlaksanaan wakaf korporat di beberapa negara terbabit seperti Turki, Pakistan dan Bangladesh </w:t>
      </w:r>
      <w:r w:rsidR="00040EFE">
        <w:t xml:space="preserve">aspek pengurusan harta-harta wakaf </w:t>
      </w:r>
      <w:r>
        <w:t>adalah</w:t>
      </w:r>
      <w:r w:rsidR="00E21AAC">
        <w:t xml:space="preserve"> berbentuk harta</w:t>
      </w:r>
      <w:r w:rsidR="00040EFE">
        <w:t xml:space="preserve"> alih</w:t>
      </w:r>
      <w:r w:rsidR="00E21AAC">
        <w:t xml:space="preserve"> seperti wang tunai, saham syarikat dan dividen saham</w:t>
      </w:r>
      <w:r w:rsidR="00040EFE">
        <w:t xml:space="preserve"> yang diurus tadbir secara penuh oleh entiti korporat</w:t>
      </w:r>
      <w:r w:rsidR="00AB09C9">
        <w:t xml:space="preserve"> (</w:t>
      </w:r>
      <w:r w:rsidR="00AB09C9" w:rsidRPr="00AB09C9">
        <w:t>Magda, 2013).</w:t>
      </w:r>
      <w:r w:rsidR="008F2C26">
        <w:t xml:space="preserve"> </w:t>
      </w:r>
      <w:r w:rsidR="00B40561" w:rsidRPr="00AB09C9">
        <w:t>Di antara elemen penting bagi struktur wakaf korporat adalah aset wakaf adalah di dalam bentuk harta alih, manakala pemegang amanah wakaf iaitu syarikat korporat adalah merupakan muta</w:t>
      </w:r>
      <w:r w:rsidR="00AB4BF5" w:rsidRPr="00AB09C9">
        <w:t>wwa</w:t>
      </w:r>
      <w:r w:rsidR="00B40561" w:rsidRPr="00AB09C9">
        <w:t>li dan juga penerima harta wak</w:t>
      </w:r>
      <w:r w:rsidR="008F2C26">
        <w:t xml:space="preserve">af </w:t>
      </w:r>
      <w:r w:rsidR="008F2C26" w:rsidRPr="008D7F95">
        <w:t>(Asharaf dan Abdulla</w:t>
      </w:r>
      <w:r w:rsidR="00EF4180">
        <w:t>a</w:t>
      </w:r>
      <w:r w:rsidR="008F2C26" w:rsidRPr="008D7F95">
        <w:t>h, 2013)</w:t>
      </w:r>
      <w:r>
        <w:t>.</w:t>
      </w:r>
    </w:p>
    <w:p w:rsidR="006F185E" w:rsidRPr="006F185E" w:rsidRDefault="006F185E" w:rsidP="006F185E">
      <w:pPr>
        <w:pStyle w:val="Heading1"/>
      </w:pPr>
      <w:r>
        <w:t>4. Perkembangan Wakaf Korporat di Malaysia</w:t>
      </w:r>
    </w:p>
    <w:p w:rsidR="00AB4BF5" w:rsidRPr="00AB4BF5" w:rsidRDefault="00AB4BF5" w:rsidP="006F185E">
      <w:pPr>
        <w:spacing w:line="360" w:lineRule="auto"/>
      </w:pPr>
      <w:r>
        <w:t xml:space="preserve">Terminologi wakaf korporat pertama kali digunakan oleh pihak Johor Corporation (JCorp) yang melancarkan wakaf korporat pada tahun 2006 dengan mewakafkan saham miliknya yang bernilai RM200 juta di dalam anak syarikatnya iaitu Kulim (M) Berhad, KPJ Healthcare Berhad dan Johor Land Berhad </w:t>
      </w:r>
      <w:r w:rsidRPr="008D7F95">
        <w:t>(JCorp, 2006</w:t>
      </w:r>
      <w:r w:rsidR="00BF4995" w:rsidRPr="008D7F95">
        <w:t>; Muhammad Ali Hashim, 2011</w:t>
      </w:r>
      <w:r w:rsidRPr="008D7F95">
        <w:t>).</w:t>
      </w:r>
      <w:r>
        <w:t xml:space="preserve"> Wakaf An-Nur Corporation (WANCorp) iaitu anak syarikat JCorp telah dipertanggungjawabkan me</w:t>
      </w:r>
      <w:r w:rsidR="00AB09C9">
        <w:t xml:space="preserve">ngurus wakaf korporat yang </w:t>
      </w:r>
      <w:r>
        <w:t xml:space="preserve">memberikan fokus kepada aspek kesihatan melalui rangkaian Klinik Wakaf An-Nur dan Hospital Wakaf An-Nur (Asharaf and Abdullah, 2012; Hajah Mustafa et.al, 2009; Ab. Shakor, 2011). Pesakit-pesakit yang mendapatkan rawatan di klinik dan hospital berkenaan dikenakan caj yang minima iaitu Ringgit Malaysia Lima sahaja dan pesakit-pesakit terdiri daripada yang beragama Islam dan lain-lain. </w:t>
      </w:r>
      <w:r w:rsidR="006F185E">
        <w:t xml:space="preserve">Selain daripada dividen saham-saham yang diwakafkan, WANCORP turut membuka peluang kepada individu untuk berwakaf dengan menjadi ahli wakaf korporat yang mana sebahagian yuran ahli diwakafkan. Aspek-aspek pengamalan etika tadbir urus korporat di dalam pengurusan aset wakaf oleh WANCORP dapat dilihat melalui pelaporan Laporan Kewangan Tahunan dan juga pelaporan aktiviti-aktiviti lain. </w:t>
      </w:r>
    </w:p>
    <w:p w:rsidR="00C10912" w:rsidRDefault="00C10912" w:rsidP="006F185E">
      <w:pPr>
        <w:spacing w:line="360" w:lineRule="auto"/>
      </w:pPr>
      <w:r>
        <w:t xml:space="preserve">Pada September 2012 buat julung-julung kalinya sebuah syarikat kewangan Islam iaitu Bank Muamalat Malaysia Berhad (BMMB) telah bekerjasama dengan Perbadanan Wakaf Selangor (PWS) memperkenalkan skim wakaf tunai yang dikenali sebagai </w:t>
      </w:r>
      <w:r w:rsidR="00EF4180">
        <w:t>Wakaf Selangor Muamalat</w:t>
      </w:r>
      <w:r w:rsidR="00FA1200">
        <w:t>.</w:t>
      </w:r>
      <w:r>
        <w:t xml:space="preserve"> Melalui kerjasama ini, BMMB dan PWS adalah merupakan pengurus bersama aset wakaf yang diperolehi melalui pembelian sijil wakaf tunai yang boleh dilakukan di mana-mana cawangan BMMB. </w:t>
      </w:r>
      <w:r w:rsidR="00717DFC">
        <w:t xml:space="preserve">Selain itu sumbangan wakaf boleh juga dilakukan melalui perbankan internet, potongan bulanan dan arahan bayaran berkala </w:t>
      </w:r>
      <w:r w:rsidR="00717DFC" w:rsidRPr="008D7F95">
        <w:t>(BBMB, 2012).</w:t>
      </w:r>
      <w:r w:rsidR="006F185E">
        <w:t xml:space="preserve"> Di dalam aspek penyaluran manfaat wakaf ianya adalah bersifat umum, penerima-penerima wakaf adalah </w:t>
      </w:r>
      <w:r w:rsidR="006F185E">
        <w:lastRenderedPageBreak/>
        <w:t xml:space="preserve">terdiri daripada daripada sektor pendidikan, kesihatan, keagamaan dan sosial. Diantara penerima-penerima seperti surau, masjid, sekolah dan juga indidvidu bagi menampung kos kesihatan dan pendidikan. Laporan berkenaan dengan kutipan dan agihan manfaat wakaf disediakan secara suku tahunan bagi memudahkan pihak-pihak yang berkepentingan mendapatkan maklumat berkenaan dengan wakaf secara terperinci. </w:t>
      </w:r>
    </w:p>
    <w:p w:rsidR="006F185E" w:rsidRDefault="006F185E" w:rsidP="006F185E">
      <w:pPr>
        <w:spacing w:line="360" w:lineRule="auto"/>
      </w:pPr>
      <w:r>
        <w:t>Ciri-ciri wakaf korporat yang memberikan fleksibiliti kepada pihak pewakaf sebagai pengurus dan juga penerima manfaat wakaf telah menarik perhatian universiti awam untuk menubuhkan dana wakaf bagi menjana pendapatan seterusnya membiayai skim biasiswa dan juga kos operasi institusi terbabit. Keperluan kepada pembiayaan alternatif bagi universiti amatlah mendesak terutamanya apabila pihak kerajaan telah mengurangkan peruntukan tahunan sekitar 10-20 peratus kepada universiti awam bermula dari tahun 2016 (Zulkahiri, 2016). Terdapat beberapa universiti awam yang telah melaksanakan skim wakaf seperti UIAM, UKM, UPM dan USIM. Penubuhan dan pengurusan wakaf di universiti diuruskan entiti wakaf yang berperanan untuk mengumpul, mengurus, melabur dan menyalurkan manfaat kepada penerima. Pada masa kini penerima-penerima kebanyakannaya terdiri daripada pelajar-pelajar yang menerima manfaat wakaf dalam bentuk biasiswa (Asharaf dan Mustafa, 2013).</w:t>
      </w:r>
    </w:p>
    <w:p w:rsidR="006F185E" w:rsidRDefault="006F185E" w:rsidP="006F185E">
      <w:pPr>
        <w:spacing w:line="360" w:lineRule="auto"/>
      </w:pPr>
      <w:r>
        <w:t xml:space="preserve">Skim wakaf korporat turut dilaksanakan oleh Yayasan Wakaf Malaysia (YWM) pada tahun 2015. Skop Skim Wakaf Korporat ini adalah memfokuskan kepada kutipan dana wakaf daripada syarikat-syarikat korporat (Khairil et.al, 2016). Manfaat wakaf yang diperolehi akan disalurkan bagi membiayai program-program kebajikan bagi kemashatan masyarakat. </w:t>
      </w:r>
    </w:p>
    <w:p w:rsidR="006F185E" w:rsidRDefault="006F185E" w:rsidP="006F185E">
      <w:pPr>
        <w:spacing w:line="360" w:lineRule="auto"/>
      </w:pPr>
      <w:r>
        <w:t>Selain aspek pendidikan dan kesihatan, entiti korporat di Malaysia seperti Tabung Haji Properties (TH Properties) dan UDA Hol</w:t>
      </w:r>
      <w:r w:rsidR="00AB7F83">
        <w:t>dings telah</w:t>
      </w:r>
      <w:r>
        <w:t xml:space="preserve"> bekerjasama dengan Majlis Agama Islam Negeri selaku pemegang amanah tunggal wakaf di negeri-negeri di dalam membangunkan dan menguruskan hartanah-hartanah wakaf. TH Properties telah bekerjasama dengan Majlis Agama Islam Wilayah Persekutuan untuk menguruskan Menara Bank Islam yang merupakan aset wakaf yang telah dibangunkan dan disewa kepada Bank Islam Malaysia Berhad pada tahun 2011 </w:t>
      </w:r>
      <w:r w:rsidRPr="00EF4180">
        <w:t>(Bank Islam, 2011).</w:t>
      </w:r>
      <w:r>
        <w:t xml:space="preserve"> UDA  Holdings pula telah terbabit secara langsung dengan pembangunan harta wakaf di negeri Pulau Pinang iaitu yang dikenali sebagai Wakaf Seete Aisyah. Melalui perjanjian dengan Majlis Agama Islam Pulai Pinang (MAIPP), UDA Holdings telah diamanahkan untuk membangunkan tanah wakaf tersebut dan </w:t>
      </w:r>
      <w:r>
        <w:lastRenderedPageBreak/>
        <w:t xml:space="preserve">ianya telah berjaya dilaksanakan dan diserahkan semula kepada MAIPP pada tahun 2012. Namun, melihat kepada peranan entiti korporat terbabit yang hanya bertindak sebagai pemaju dan pengurus hartanah wakaf maka ianya tidaklah termasuk di dalam konsep wakaf korporat. </w:t>
      </w:r>
    </w:p>
    <w:p w:rsidR="006F185E" w:rsidRDefault="006F185E" w:rsidP="006F185E">
      <w:pPr>
        <w:spacing w:line="360" w:lineRule="auto"/>
      </w:pPr>
      <w:r>
        <w:t xml:space="preserve">Perbincangan di atas telah menunjukkan bahawa konsep wakaf korporat iaitu aset-aset wakaf yang diurus dan ditadbir oleh entiti korporat semakin mendapat sambutan daripada pihak-pihak yang ingin terlibat didalam menubuh, mengurus dan menyalurkan manfaat wakaf mengikut keutamaan mereka. Subtopik yang berikutnya akan menganalisa model wakaf korporat yang diamalkan pada masa kini iaitu Model Perniagaan, Model Perbankan dan Model Universiti. </w:t>
      </w:r>
      <w:bookmarkEnd w:id="8"/>
    </w:p>
    <w:p w:rsidR="00C33E04" w:rsidRPr="002C2278" w:rsidRDefault="006F185E" w:rsidP="002C2278">
      <w:pPr>
        <w:pStyle w:val="Heading1"/>
      </w:pPr>
      <w:r w:rsidRPr="002C2278">
        <w:t>5</w:t>
      </w:r>
      <w:r w:rsidR="00C33E04" w:rsidRPr="002C2278">
        <w:t xml:space="preserve">. </w:t>
      </w:r>
      <w:bookmarkStart w:id="9" w:name="_Toc346890695"/>
      <w:r w:rsidR="00D35A28" w:rsidRPr="002C2278">
        <w:t>Analisis Model Wakaf Korporat di Malaysia</w:t>
      </w:r>
      <w:bookmarkEnd w:id="9"/>
    </w:p>
    <w:p w:rsidR="0088667F" w:rsidRPr="002C2278" w:rsidRDefault="002C2278" w:rsidP="005A4D75">
      <w:pPr>
        <w:spacing w:line="360" w:lineRule="auto"/>
      </w:pPr>
      <w:bookmarkStart w:id="10" w:name="_Toc346890699"/>
      <w:r>
        <w:t xml:space="preserve">Pada masa kini terdapat tiga model wakaf korporat iaitu yang berasaskan </w:t>
      </w:r>
      <w:r w:rsidR="00AB7F83">
        <w:t>bisnes</w:t>
      </w:r>
      <w:r w:rsidR="007A1190">
        <w:t xml:space="preserve"> yang diasaskan oleh Johor Corporation, perbankan dan kewangan yang dilaksanakan oleh Bank Muamalat Malaysia Berhad (BMMB) dan model universiti seperti yang digariskan oleh pihak Kementerian Pengajian Tinggi (KPT)</w:t>
      </w:r>
      <w:r w:rsidR="0088667F" w:rsidRPr="002C2278">
        <w:t xml:space="preserve"> (Asharaf &amp; Abdullaah, 2012, 2013; Hajah Mustafa et.al, 2011</w:t>
      </w:r>
      <w:r w:rsidR="007A1190">
        <w:t>; KPT, 2015</w:t>
      </w:r>
      <w:r w:rsidR="00AB7F83">
        <w:t xml:space="preserve">; </w:t>
      </w:r>
      <w:r w:rsidR="0088667F" w:rsidRPr="002C2278">
        <w:t xml:space="preserve">Abdullaah &amp; Asharaf, 2008). </w:t>
      </w:r>
      <w:r w:rsidR="00B939BE">
        <w:t>Maklumat terperinci berke</w:t>
      </w:r>
      <w:r w:rsidR="00AB7F83">
        <w:t>naan ketiga-tiga model tersebut</w:t>
      </w:r>
      <w:r w:rsidR="00B939BE">
        <w:t xml:space="preserve"> adalah seperti di bawah:</w:t>
      </w:r>
    </w:p>
    <w:p w:rsidR="0088667F" w:rsidRPr="002C2278" w:rsidRDefault="00B939BE" w:rsidP="005A4D75">
      <w:pPr>
        <w:pStyle w:val="Heading2"/>
        <w:spacing w:line="360" w:lineRule="auto"/>
      </w:pPr>
      <w:r>
        <w:t xml:space="preserve">5.1 Model Bisnes </w:t>
      </w:r>
      <w:r w:rsidR="00CF6454">
        <w:t xml:space="preserve">Wakaf </w:t>
      </w:r>
      <w:r>
        <w:t>Korporat</w:t>
      </w:r>
    </w:p>
    <w:p w:rsidR="00B939BE" w:rsidRDefault="00AB7F83" w:rsidP="005A4D75">
      <w:pPr>
        <w:spacing w:line="360" w:lineRule="auto"/>
      </w:pPr>
      <w:r>
        <w:t xml:space="preserve">Model wakaf korporat yang diuruskan oleh </w:t>
      </w:r>
      <w:r w:rsidR="00B939BE">
        <w:t>Waqaf</w:t>
      </w:r>
      <w:r>
        <w:t xml:space="preserve"> An-Nur Corporat Berhad (WANCorp</w:t>
      </w:r>
      <w:r w:rsidR="00B939BE">
        <w:t>) adalah dianggap sebagai model wakaf korporat y</w:t>
      </w:r>
      <w:r>
        <w:t>ang pertama di Malaysia. WANCorp</w:t>
      </w:r>
      <w:r w:rsidR="00B939BE">
        <w:t xml:space="preserve"> adalah meru</w:t>
      </w:r>
      <w:r>
        <w:t>pakan anak syarikat kepada JCorp</w:t>
      </w:r>
      <w:r w:rsidR="00B939BE">
        <w:t xml:space="preserve"> dan merupakan syarikat berhad yang tidak mempunyai </w:t>
      </w:r>
      <w:r>
        <w:t xml:space="preserve">pegangan </w:t>
      </w:r>
      <w:r w:rsidR="00B939BE">
        <w:t>saham</w:t>
      </w:r>
      <w:r w:rsidR="00044F70">
        <w:t xml:space="preserve"> dan</w:t>
      </w:r>
      <w:r w:rsidR="00B939BE">
        <w:t xml:space="preserve"> ditubuhkan untuk mengurus aset </w:t>
      </w:r>
      <w:r w:rsidR="00044F70">
        <w:t>serta</w:t>
      </w:r>
      <w:r>
        <w:t xml:space="preserve"> saham JCorp</w:t>
      </w:r>
      <w:r w:rsidR="00B939BE">
        <w:t xml:space="preserve"> yang telah diwakafkan berpandukan kepada prinsip Shariah.</w:t>
      </w:r>
    </w:p>
    <w:p w:rsidR="00044F70" w:rsidRDefault="00044F70" w:rsidP="005A4D75">
      <w:pPr>
        <w:spacing w:line="360" w:lineRule="auto"/>
      </w:pPr>
      <w:r>
        <w:t>Sebagai sebua</w:t>
      </w:r>
      <w:r w:rsidR="00AB7F83">
        <w:t>h entiti korporat di bawah JCorp, WANCorp</w:t>
      </w:r>
      <w:r>
        <w:t xml:space="preserve"> berperanan penting sebagai pelaksana wakaf kor</w:t>
      </w:r>
      <w:r w:rsidR="00AB7F83">
        <w:t>porat yang ditubuhkan oleh JCorp</w:t>
      </w:r>
      <w:r>
        <w:t xml:space="preserve"> melalui kebenaran yang diberikan oleh Majlis Agama Islam Johor (MAIJ). Berdasarkan memrorandum persefahaman (MOU) yang ditandantangani bersama MAI</w:t>
      </w:r>
      <w:r w:rsidR="00AC1535">
        <w:t xml:space="preserve">J dan JCorp pada 4 Disember 2009, MAIJ telah bersetuju untuk melantik WANCorp sebagai “Nazir Khas” saham wakaf bermula tarikh 11 Julai 2005. WANCorp </w:t>
      </w:r>
      <w:r w:rsidR="00AB7F83">
        <w:t>bertindak sebagai Penerima</w:t>
      </w:r>
      <w:r w:rsidR="00AC1535">
        <w:t xml:space="preserve"> (mawquf alayh) , Pengurus dan Pentadbir aset wakaf </w:t>
      </w:r>
      <w:r w:rsidR="00AC1535">
        <w:lastRenderedPageBreak/>
        <w:t xml:space="preserve">yang diperakui oleh MAIJ. Selain itu WANCorp juga melaksanakan Tanggungungjawab Sosial Korporat Islam (CSR “Islam) mewakili JCorp. </w:t>
      </w:r>
    </w:p>
    <w:p w:rsidR="009F3FA6" w:rsidRDefault="00AC1535" w:rsidP="005A4D75">
      <w:pPr>
        <w:spacing w:line="360" w:lineRule="auto"/>
      </w:pPr>
      <w:r>
        <w:t>Pada 2006, JCorp telah melancarkan “Wakaf Korporat” dengan memindahkan 12.35 juta unit saham JCorp di</w:t>
      </w:r>
      <w:r w:rsidR="0088667F" w:rsidRPr="002C2278">
        <w:t xml:space="preserve"> Kulim (M</w:t>
      </w:r>
      <w:r>
        <w:t xml:space="preserve">) Bhd, 18.60 juta </w:t>
      </w:r>
      <w:r w:rsidR="009F3FA6">
        <w:t xml:space="preserve">unit </w:t>
      </w:r>
      <w:r>
        <w:t>saham di</w:t>
      </w:r>
      <w:r w:rsidR="0088667F" w:rsidRPr="002C2278">
        <w:t xml:space="preserve"> KPJ Healthcare Bhd and 4.32 million unit </w:t>
      </w:r>
      <w:r w:rsidR="009F3FA6">
        <w:t>saham di Johor Land Bhd ke</w:t>
      </w:r>
      <w:r w:rsidR="0088667F" w:rsidRPr="002C2278">
        <w:t xml:space="preserve"> Kumpulan Waqaf An-Nur Bhd as trustee (JCorp, 2007). </w:t>
      </w:r>
      <w:r w:rsidR="009F3FA6">
        <w:t>Konsep ini adalah merupakan strategi penting bagi perlaksanaan misi korporat JCorp iaitu Bisnes Jihad. Sebagai bukti, melalu</w:t>
      </w:r>
      <w:r w:rsidR="003A6705">
        <w:t>i agenda korporat wakaf, di dalam</w:t>
      </w:r>
      <w:r w:rsidR="009F3FA6">
        <w:t xml:space="preserve"> laporan pada tahun 2007 JCorp telah memperuntukkan sejumlah 25 peratus daripada dividen yang diperolehi daripada unit-unit saham terbabit sebagai wakaf </w:t>
      </w:r>
      <w:r w:rsidR="0088667F" w:rsidRPr="002C2278">
        <w:t xml:space="preserve"> (JCorp, 2007). </w:t>
      </w:r>
      <w:r w:rsidR="009F3FA6">
        <w:t xml:space="preserve">Justeru, dividen yang diperolehi boleh digunakan untuk membiayai pelbagai akviti berbentuk kebajikan yang memberikan manfaat kepada masyarakat Islam dan bukan Islam secara keseluruhannya. </w:t>
      </w:r>
    </w:p>
    <w:p w:rsidR="0088667F" w:rsidRPr="002C2278" w:rsidRDefault="009F3FA6" w:rsidP="005A4D75">
      <w:pPr>
        <w:spacing w:line="360" w:lineRule="auto"/>
      </w:pPr>
      <w:r>
        <w:t>Sumber kewangan utama WANCorp adalah melalui saham wakaf yang diwakafkan oleh syarikat korporat yang terdiri daripada beberapa anak syarikat JCorp. Saham-saham terbabit terdir</w:t>
      </w:r>
      <w:r w:rsidR="003A6705">
        <w:t>i</w:t>
      </w:r>
      <w:r>
        <w:t xml:space="preserve"> daripada saham-saham yang disenaraikan di Bursa Malaysia dan yang tidak disenaraikan. Syarikat senaraian yang terlibat </w:t>
      </w:r>
      <w:r w:rsidR="00DF3743">
        <w:t xml:space="preserve">di dalam model korporat wakaf termasuklah </w:t>
      </w:r>
      <w:r w:rsidR="0088667F" w:rsidRPr="002C2278">
        <w:t>KPJ Healthcare Berhad, Ku</w:t>
      </w:r>
      <w:r w:rsidR="00DF3743">
        <w:t>lim (M) Berhad dan</w:t>
      </w:r>
      <w:r w:rsidR="0088667F" w:rsidRPr="002C2278">
        <w:t xml:space="preserve"> Al-Aqar KPJ REIT. </w:t>
      </w:r>
      <w:r w:rsidR="00DF3743">
        <w:t xml:space="preserve">Manakala syarikat bukan senaraian pula seperti </w:t>
      </w:r>
      <w:r w:rsidR="0088667F" w:rsidRPr="002C2278">
        <w:t>Tiram Travel Sdn Bh</w:t>
      </w:r>
      <w:r w:rsidR="00DF3743">
        <w:t xml:space="preserve">d, Capaian Aspirasi Sdn Bhd dan </w:t>
      </w:r>
      <w:r w:rsidR="0088667F" w:rsidRPr="002C2278">
        <w:t>TPM Managament Sdn Bhd.</w:t>
      </w:r>
    </w:p>
    <w:p w:rsidR="00DF3743" w:rsidRDefault="00DF3743" w:rsidP="005A4D75">
      <w:pPr>
        <w:spacing w:line="360" w:lineRule="auto"/>
      </w:pPr>
      <w:r>
        <w:t xml:space="preserve">Penyaluran manfaat wakaf pula dibuat berdasarkan dokumen Hujah Wakaf yang menyatakan bahawa 70 peratus daripadanya akan dilaburkan semula, 25 peratus akan disalurkan bagi tujuan kebajikan (fi sabilillah) dan 5 peratus disumbangkan kepada MAIJ </w:t>
      </w:r>
      <w:r w:rsidR="0088667F" w:rsidRPr="002C2278">
        <w:t>(WANCorp, 2011; Johor Corporation, 200</w:t>
      </w:r>
      <w:r>
        <w:t xml:space="preserve">8; KWANB, 2007; WANCorp, 2010). Sejumlah </w:t>
      </w:r>
      <w:r w:rsidR="0088667F" w:rsidRPr="002C2278">
        <w:t>70</w:t>
      </w:r>
      <w:r>
        <w:t xml:space="preserve"> peratus hasil wakaf akan dilaburkan didalam pelaburan deposit tetap institusi kewangan patuh shariah dan pembelian Saham Dana Johor. Manakala manfaat wakaf yang berjumlah 25 peratus akan disalurkan untuk membiayai tiga bentuk program kebajikan iaitu:</w:t>
      </w:r>
    </w:p>
    <w:p w:rsidR="00DF3743" w:rsidRDefault="00DF3743" w:rsidP="005A4D75">
      <w:pPr>
        <w:pStyle w:val="ListParagraph"/>
        <w:numPr>
          <w:ilvl w:val="0"/>
          <w:numId w:val="20"/>
        </w:numPr>
        <w:spacing w:line="360" w:lineRule="auto"/>
      </w:pPr>
      <w:r>
        <w:t>Program Kebajikan (55%) yang meliputi sumbangan kepada aspek kesihatan, masjid, surau</w:t>
      </w:r>
      <w:r w:rsidR="00FA159D">
        <w:t>, pertubuhan awam, anak yatim, b</w:t>
      </w:r>
      <w:r w:rsidR="003A6705">
        <w:t>r</w:t>
      </w:r>
      <w:r w:rsidR="00FA159D">
        <w:t>iged wakaf dan projek CSR yang lain.</w:t>
      </w:r>
    </w:p>
    <w:p w:rsidR="00DF3743" w:rsidRDefault="00DF3743" w:rsidP="005A4D75">
      <w:pPr>
        <w:pStyle w:val="ListParagraph"/>
        <w:numPr>
          <w:ilvl w:val="0"/>
          <w:numId w:val="20"/>
        </w:numPr>
        <w:spacing w:line="360" w:lineRule="auto"/>
      </w:pPr>
      <w:r>
        <w:t>Projek Spesifik (35%)</w:t>
      </w:r>
      <w:r w:rsidR="00FA159D">
        <w:t xml:space="preserve"> adalah projek khas WANCorp yang melibat</w:t>
      </w:r>
      <w:r w:rsidR="003A6705">
        <w:t>kan</w:t>
      </w:r>
      <w:r w:rsidR="00FA159D">
        <w:t xml:space="preserve"> kos yang besar seperti projek bersama orang asli pada tahun 2011 dan Teater Imam Bukhari pada tahun 2010.</w:t>
      </w:r>
    </w:p>
    <w:p w:rsidR="00DF3743" w:rsidRDefault="00DF3743" w:rsidP="005A4D75">
      <w:pPr>
        <w:pStyle w:val="ListParagraph"/>
        <w:numPr>
          <w:ilvl w:val="0"/>
          <w:numId w:val="20"/>
        </w:numPr>
        <w:spacing w:line="360" w:lineRule="auto"/>
      </w:pPr>
      <w:r>
        <w:lastRenderedPageBreak/>
        <w:t>Pembangunan Sumber Manusia, Pendidikan dan Keusahawanan (10%)</w:t>
      </w:r>
      <w:r w:rsidR="00FA159D">
        <w:t xml:space="preserve"> pula berupa pembiayaan </w:t>
      </w:r>
      <w:r w:rsidR="00FA159D" w:rsidRPr="00FA159D">
        <w:t>pembiayaan persidangan, latihan kepada mutawif, buku, pinjaman tanpa faedah, biasiswa dan lain-lain</w:t>
      </w:r>
    </w:p>
    <w:p w:rsidR="00FA159D" w:rsidRDefault="00FA159D" w:rsidP="005A4D75">
      <w:pPr>
        <w:spacing w:line="360" w:lineRule="auto"/>
      </w:pPr>
      <w:r>
        <w:t xml:space="preserve">Bagi manfaat wakaf 5 peratus bagi MAIJ, sejumlah </w:t>
      </w:r>
      <w:r w:rsidR="0088667F" w:rsidRPr="002C2278">
        <w:t xml:space="preserve">RM718, 076 </w:t>
      </w:r>
      <w:r>
        <w:t xml:space="preserve">telah diserahkan kepada MAIJ pada tahun 2011. </w:t>
      </w:r>
    </w:p>
    <w:p w:rsidR="005A4D75" w:rsidRDefault="005A4D75" w:rsidP="005A4D75">
      <w:pPr>
        <w:spacing w:line="360" w:lineRule="auto"/>
      </w:pPr>
    </w:p>
    <w:p w:rsidR="005A4D75" w:rsidRDefault="005A4D75" w:rsidP="005A4D75">
      <w:pPr>
        <w:spacing w:line="360" w:lineRule="auto"/>
      </w:pPr>
    </w:p>
    <w:p w:rsidR="005A4D75" w:rsidRDefault="005A4D75" w:rsidP="005A4D75">
      <w:pPr>
        <w:spacing w:line="360" w:lineRule="auto"/>
      </w:pPr>
    </w:p>
    <w:p w:rsidR="005A4D75" w:rsidRDefault="005A4D75" w:rsidP="005A4D75">
      <w:pPr>
        <w:spacing w:line="360" w:lineRule="auto"/>
      </w:pPr>
    </w:p>
    <w:p w:rsidR="0088667F" w:rsidRPr="0059504E" w:rsidRDefault="0059504E" w:rsidP="005A4D75">
      <w:pPr>
        <w:spacing w:after="0" w:line="360" w:lineRule="auto"/>
        <w:jc w:val="center"/>
        <w:rPr>
          <w:b/>
          <w:sz w:val="22"/>
        </w:rPr>
      </w:pPr>
      <w:r w:rsidRPr="0059504E">
        <w:rPr>
          <w:b/>
          <w:sz w:val="22"/>
        </w:rPr>
        <w:t>Gambarajah 1: Model Bisnes Wakaf Korporat</w:t>
      </w:r>
    </w:p>
    <w:p w:rsidR="0059504E" w:rsidRDefault="0059504E" w:rsidP="005A4D75">
      <w:pPr>
        <w:spacing w:line="360" w:lineRule="auto"/>
      </w:pPr>
      <w:r>
        <w:object w:dxaOrig="11481" w:dyaOrig="7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303.05pt" o:ole="">
            <v:imagedata r:id="rId9" o:title=""/>
          </v:shape>
          <o:OLEObject Type="Embed" ProgID="Visio.Drawing.11" ShapeID="_x0000_i1025" DrawAspect="Content" ObjectID="_1564577484" r:id="rId10"/>
        </w:object>
      </w:r>
    </w:p>
    <w:p w:rsidR="003A6705" w:rsidRPr="005A4D75" w:rsidRDefault="005A4D75" w:rsidP="005A4D75">
      <w:pPr>
        <w:spacing w:line="360" w:lineRule="auto"/>
        <w:jc w:val="center"/>
        <w:rPr>
          <w:b/>
          <w:sz w:val="22"/>
        </w:rPr>
      </w:pPr>
      <w:r w:rsidRPr="005A4D75">
        <w:rPr>
          <w:b/>
          <w:sz w:val="22"/>
        </w:rPr>
        <w:t>(Sumber: Penulis)</w:t>
      </w:r>
    </w:p>
    <w:p w:rsidR="003A6705" w:rsidRPr="002C2278" w:rsidRDefault="003A6705" w:rsidP="005A4D75">
      <w:pPr>
        <w:spacing w:line="360" w:lineRule="auto"/>
      </w:pPr>
    </w:p>
    <w:p w:rsidR="0088667F" w:rsidRPr="002C2278" w:rsidRDefault="0088667F" w:rsidP="005A4D75">
      <w:pPr>
        <w:spacing w:line="360" w:lineRule="auto"/>
      </w:pPr>
      <w:r w:rsidRPr="002C2278">
        <w:lastRenderedPageBreak/>
        <w:t>B</w:t>
      </w:r>
      <w:r w:rsidR="00FA159D">
        <w:t>erdasarkan kepada Gambarajah 1 di atas, ssebuah entiti korporat boleh ditubuhkan sebagai subsidiari atau anak syarikat untuk menguruskan aktiviti wakaf sepertimana yang dilakukan oleh JCorp. Dalam wak</w:t>
      </w:r>
      <w:r w:rsidR="0059504E">
        <w:t>tu yang sama, subsidiari terbab</w:t>
      </w:r>
      <w:r w:rsidR="00FA159D">
        <w:t>it adalah juga nazir dan penerima bagi wakaf aset dan hasil wakaf. Me</w:t>
      </w:r>
      <w:r w:rsidR="0059504E">
        <w:t>r</w:t>
      </w:r>
      <w:r w:rsidR="00FA159D">
        <w:t xml:space="preserve">ujuk kepada </w:t>
      </w:r>
      <w:r w:rsidR="00CF6454">
        <w:t xml:space="preserve">JCorp, 70 peratus hasil manfaat wakaf disalurkan kepada </w:t>
      </w:r>
      <w:r w:rsidRPr="002C2278">
        <w:t xml:space="preserve">Waqaf An-Nur Corporation Berhad </w:t>
      </w:r>
      <w:r w:rsidR="00CF6454">
        <w:t>yang kemudiannya menyalurkannya semula kepada penerima-penerima akhir</w:t>
      </w:r>
      <w:r w:rsidRPr="002C2278">
        <w:t>.</w:t>
      </w:r>
    </w:p>
    <w:p w:rsidR="0088667F" w:rsidRPr="002C2278" w:rsidRDefault="00CF6454" w:rsidP="005A4D75">
      <w:pPr>
        <w:pStyle w:val="Heading2"/>
        <w:spacing w:line="360" w:lineRule="auto"/>
      </w:pPr>
      <w:r>
        <w:t>5</w:t>
      </w:r>
      <w:r w:rsidR="0088667F" w:rsidRPr="002C2278">
        <w:t>.2 Model</w:t>
      </w:r>
      <w:r>
        <w:t xml:space="preserve"> Perbankan Wakaf Korporat</w:t>
      </w:r>
    </w:p>
    <w:p w:rsidR="0059504E" w:rsidRDefault="00CF6454" w:rsidP="005A4D75">
      <w:pPr>
        <w:spacing w:line="360" w:lineRule="auto"/>
      </w:pPr>
      <w:r>
        <w:t xml:space="preserve">Bagi model wakaf korporat institusi perbankan dan kewangan, program wakaf yang dijalankan secara usahama di antara </w:t>
      </w:r>
      <w:r w:rsidR="0088667F" w:rsidRPr="002C2278">
        <w:t xml:space="preserve">Bank Muamalat </w:t>
      </w:r>
      <w:r>
        <w:t>Malaysia Berhad (BMMB) dan</w:t>
      </w:r>
      <w:r w:rsidR="0088667F" w:rsidRPr="002C2278">
        <w:t xml:space="preserve"> Perbadanan Wakaf Selangor </w:t>
      </w:r>
      <w:r>
        <w:t>(PWS) adalah menjadi sampel sepertimana ditu</w:t>
      </w:r>
      <w:r w:rsidR="0059504E">
        <w:t>n</w:t>
      </w:r>
      <w:r>
        <w:t>jukkan Gambarajah 2</w:t>
      </w:r>
      <w:r w:rsidR="0088667F" w:rsidRPr="002C2278">
        <w:t>.</w:t>
      </w:r>
    </w:p>
    <w:p w:rsidR="005A4D75" w:rsidRDefault="005A4D75" w:rsidP="005A4D75">
      <w:pPr>
        <w:spacing w:line="360" w:lineRule="auto"/>
      </w:pPr>
    </w:p>
    <w:p w:rsidR="005A4D75" w:rsidRPr="002C2278" w:rsidRDefault="005A4D75" w:rsidP="005A4D75">
      <w:pPr>
        <w:spacing w:line="360" w:lineRule="auto"/>
      </w:pPr>
    </w:p>
    <w:p w:rsidR="009E56B9" w:rsidRPr="0059504E" w:rsidRDefault="00CF6454" w:rsidP="005A4D75">
      <w:pPr>
        <w:spacing w:line="360" w:lineRule="auto"/>
        <w:jc w:val="center"/>
        <w:rPr>
          <w:b/>
          <w:sz w:val="20"/>
          <w:szCs w:val="20"/>
        </w:rPr>
      </w:pPr>
      <w:r w:rsidRPr="0059504E">
        <w:rPr>
          <w:b/>
          <w:sz w:val="20"/>
          <w:szCs w:val="20"/>
        </w:rPr>
        <w:t>Gambarajah 2:</w:t>
      </w:r>
      <w:r w:rsidR="005A4D75">
        <w:rPr>
          <w:b/>
          <w:sz w:val="20"/>
          <w:szCs w:val="20"/>
        </w:rPr>
        <w:t xml:space="preserve"> </w:t>
      </w:r>
      <w:r w:rsidRPr="0059504E">
        <w:rPr>
          <w:b/>
          <w:sz w:val="20"/>
          <w:szCs w:val="20"/>
        </w:rPr>
        <w:t>Model Perbankan Wakaf Korporat</w:t>
      </w:r>
    </w:p>
    <w:p w:rsidR="0088667F" w:rsidRPr="002C2278" w:rsidRDefault="005A4D75" w:rsidP="005A4D75">
      <w:pPr>
        <w:spacing w:line="360" w:lineRule="auto"/>
        <w:jc w:val="center"/>
      </w:pPr>
      <w:r>
        <w:object w:dxaOrig="11459" w:dyaOrig="7139">
          <v:shape id="_x0000_i1026" type="#_x0000_t75" style="width:433.9pt;height:298.65pt" o:ole="">
            <v:imagedata r:id="rId11" o:title=""/>
          </v:shape>
          <o:OLEObject Type="Embed" ProgID="Visio.Drawing.11" ShapeID="_x0000_i1026" DrawAspect="Content" ObjectID="_1564577485" r:id="rId12"/>
        </w:object>
      </w:r>
      <w:r w:rsidR="0059504E" w:rsidRPr="0059504E">
        <w:rPr>
          <w:b/>
          <w:sz w:val="22"/>
        </w:rPr>
        <w:t>(Asharaf &amp; Abdullaah, 2014</w:t>
      </w:r>
      <w:r w:rsidR="0088667F" w:rsidRPr="0059504E">
        <w:rPr>
          <w:b/>
          <w:sz w:val="22"/>
        </w:rPr>
        <w:t>)</w:t>
      </w:r>
    </w:p>
    <w:p w:rsidR="00CF6454" w:rsidRDefault="00CF6454" w:rsidP="005A4D75">
      <w:pPr>
        <w:spacing w:line="360" w:lineRule="auto"/>
      </w:pPr>
      <w:r>
        <w:lastRenderedPageBreak/>
        <w:t xml:space="preserve">Dana wakaf diperolehi melalui sumbangan individu dan juga institusi yang boleh mendepositkan wang tunai sebagai aset wakaf di mana-mana kaunter Bank Mumalat seluruh negara. Sumbangan minima bagi individu berjumlah RM10 manakala bagi institusi pula berjumlah RM100 dan tiada jumlah had maksima yang ditetapkan. Pihak pengurusan dana wakaf ini berharap untuk mengumpulkan sejumlah RM50 juta dalam tempoh tiga tahun dan inisiatif ini dimulakan dengan sumbangan wakaf daripada Bank Muamalat berjumlah RM1 juta dan kakitangannya yang berjumlah RM74, 040 sewaktu majlis pelancaran Wakaf Selangor Muamalat (BMMB, 2012). Dana wakaf yang dikumpulkan akan disalurkan oleh JPB kepada penerima-penerima daripada tiga sektor utama seperti di bawah: </w:t>
      </w:r>
    </w:p>
    <w:p w:rsidR="00CF6454" w:rsidRDefault="00CF6454" w:rsidP="0059504E">
      <w:pPr>
        <w:spacing w:line="360" w:lineRule="auto"/>
        <w:ind w:left="720" w:hanging="720"/>
      </w:pPr>
      <w:r>
        <w:t>1.</w:t>
      </w:r>
      <w:r>
        <w:tab/>
        <w:t>Pendidikan contohnya pembinaan bangunan sekolah, pembelian peralatan pendidikan dan sebagainya.</w:t>
      </w:r>
    </w:p>
    <w:p w:rsidR="00CF6454" w:rsidRDefault="00CF6454" w:rsidP="0059504E">
      <w:pPr>
        <w:spacing w:line="360" w:lineRule="auto"/>
      </w:pPr>
      <w:r>
        <w:t>2.</w:t>
      </w:r>
      <w:r>
        <w:tab/>
        <w:t>Kesihatan seperti pembelian mesin dialisis, peralatan perubatan dan rawatan.</w:t>
      </w:r>
    </w:p>
    <w:p w:rsidR="00CF6454" w:rsidRDefault="00CF6454" w:rsidP="0059504E">
      <w:pPr>
        <w:spacing w:line="360" w:lineRule="auto"/>
      </w:pPr>
      <w:r>
        <w:t>3.</w:t>
      </w:r>
      <w:r>
        <w:tab/>
        <w:t>Pelaburan dana wakaf yang akan diuruskan oleh Muamalat Invest Sdn. Bhd.</w:t>
      </w:r>
    </w:p>
    <w:p w:rsidR="00CF6454" w:rsidRDefault="00CF6454" w:rsidP="0059504E">
      <w:pPr>
        <w:spacing w:line="360" w:lineRule="auto"/>
      </w:pPr>
      <w:r>
        <w:t>Muamalat Invest Sdn. Bhd. yang merupakan anak syarikat BBMB adalah sebuah syarikat pengurusan modal akan membuat pelaburan secara profesional di dalam instrumen-intrumen pasaran patuh Shariah bagi menghasilkan keuntungan. Sejumlah  25 peratus daripada hasil pelaburan akan dibahagikan semula kepada PWS dan 75 peratus selebihnya akan diserahkan kepada JPS untuk dibahagikan semula kepada sektor-sektor yang bersesuaian. Dua sektor utama yang menerima manfaat Wakaf Selangor Muamalat ialah kesihatan dan pendidikan khususnya bagi golongan yang kurang berkemampuan samada Muslim atau bukan Islam. Jika ditinjau di dalam sejarah Islam, kedua-dua sektor ini adalah merupakan penerima utama manfaat wakaf. Murat Cizakca (2011a) berpandangan bahawa penyaluran manfaat wakaf kepada orang-orang awam yang kurang berkemampuan akan dapat membantu meringankan beban kos hidup yang ditanggung mereka dan dapat membantu meringankan beban kewangan pihak kerajaan.</w:t>
      </w:r>
    </w:p>
    <w:p w:rsidR="0088667F" w:rsidRPr="002C2278" w:rsidRDefault="00CF6454" w:rsidP="005A4D75">
      <w:pPr>
        <w:pStyle w:val="Heading2"/>
        <w:spacing w:line="360" w:lineRule="auto"/>
      </w:pPr>
      <w:r>
        <w:t xml:space="preserve"> </w:t>
      </w:r>
      <w:r w:rsidR="005A4D75">
        <w:t>5</w:t>
      </w:r>
      <w:r w:rsidR="000E150E">
        <w:t xml:space="preserve">.3 </w:t>
      </w:r>
      <w:r w:rsidR="0088667F" w:rsidRPr="002C2278">
        <w:t>Model</w:t>
      </w:r>
      <w:r w:rsidR="000E150E">
        <w:t xml:space="preserve"> Universiti Wakaf Korporat</w:t>
      </w:r>
    </w:p>
    <w:p w:rsidR="005A4D75" w:rsidRDefault="000E150E" w:rsidP="005A4D75">
      <w:pPr>
        <w:spacing w:line="360" w:lineRule="auto"/>
      </w:pPr>
      <w:r>
        <w:t xml:space="preserve">Beberapa universiti awam telah menubuhkan dana wakaf masing-masing seperti UIAM, UKM, UPM dan USIM. </w:t>
      </w:r>
      <w:r w:rsidR="008F7819">
        <w:t>B</w:t>
      </w:r>
      <w:r w:rsidR="009D3CD8">
        <w:t>agi tujuan ilustrasi amalan model universiti wakaf k</w:t>
      </w:r>
      <w:r w:rsidR="008F7819">
        <w:t>orporat, struktur model wakaf USIM</w:t>
      </w:r>
      <w:r w:rsidR="009D3CD8">
        <w:t xml:space="preserve"> ditunjukkan seperti Gambarajah </w:t>
      </w:r>
      <w:r w:rsidR="0059504E">
        <w:t>3.</w:t>
      </w:r>
    </w:p>
    <w:p w:rsidR="009E56B9" w:rsidRPr="0059504E" w:rsidRDefault="0059504E" w:rsidP="0059504E">
      <w:pPr>
        <w:jc w:val="center"/>
        <w:rPr>
          <w:b/>
          <w:sz w:val="22"/>
        </w:rPr>
      </w:pPr>
      <w:r>
        <w:rPr>
          <w:b/>
          <w:sz w:val="22"/>
        </w:rPr>
        <w:t xml:space="preserve">Gambarajah 3: </w:t>
      </w:r>
      <w:r w:rsidR="000E150E" w:rsidRPr="0059504E">
        <w:rPr>
          <w:b/>
          <w:sz w:val="22"/>
        </w:rPr>
        <w:t>Model Universiti Wakaf Korporat</w:t>
      </w:r>
      <w:r>
        <w:rPr>
          <w:b/>
          <w:sz w:val="22"/>
        </w:rPr>
        <w:t xml:space="preserve"> (USIM</w:t>
      </w:r>
      <w:r w:rsidR="009D3CD8" w:rsidRPr="0059504E">
        <w:rPr>
          <w:b/>
          <w:sz w:val="22"/>
        </w:rPr>
        <w:t>)</w:t>
      </w:r>
    </w:p>
    <w:p w:rsidR="0088667F" w:rsidRPr="0059504E" w:rsidRDefault="005A4D75" w:rsidP="0059504E">
      <w:pPr>
        <w:jc w:val="center"/>
      </w:pPr>
      <w:r>
        <w:object w:dxaOrig="16174" w:dyaOrig="10479">
          <v:shape id="_x0000_i1027" type="#_x0000_t75" style="width:451.4pt;height:256.7pt" o:ole="">
            <v:imagedata r:id="rId13" o:title=""/>
          </v:shape>
          <o:OLEObject Type="Embed" ProgID="Visio.Drawing.11" ShapeID="_x0000_i1027" DrawAspect="Content" ObjectID="_1564577486" r:id="rId14"/>
        </w:object>
      </w:r>
      <w:r w:rsidR="0088667F" w:rsidRPr="0059504E">
        <w:rPr>
          <w:b/>
          <w:sz w:val="22"/>
        </w:rPr>
        <w:t>(</w:t>
      </w:r>
      <w:r w:rsidR="0059504E" w:rsidRPr="0059504E">
        <w:rPr>
          <w:b/>
          <w:sz w:val="22"/>
        </w:rPr>
        <w:t>Sumber: Penulis</w:t>
      </w:r>
      <w:r w:rsidR="0088667F" w:rsidRPr="0059504E">
        <w:rPr>
          <w:b/>
          <w:sz w:val="22"/>
        </w:rPr>
        <w:t>)</w:t>
      </w:r>
    </w:p>
    <w:p w:rsidR="007B5BAF" w:rsidRDefault="007B5BAF" w:rsidP="007B5BAF">
      <w:r w:rsidRPr="007B5BAF">
        <w:t xml:space="preserve">USIM telah dilantik sebagai mutawwali khas oleh pihak Majlis </w:t>
      </w:r>
      <w:r w:rsidR="00AB5504">
        <w:t xml:space="preserve">Agama Islam Negeri Sembilan yang membawa kepada penubuhan Wakaf Al-Abrar USIM pada tahun 2013. Bagi tujuan menguruskan aset wakaf, Pusat Wakaf dan Zakat USIM telah ditubuhkan yang bertanggungjawab mengurus dan menyalurkan manfaat wakaf kepada penerima. </w:t>
      </w:r>
      <w:r w:rsidR="008F7819">
        <w:t>Terdapat dua kategori produk wakaf yang diuruskan oleh Pusat Wakaf dan Zakat USIM iaitu skim wakaf tunai dan skim wakaf tapak. Tiada had minima ditetapkan bagi s</w:t>
      </w:r>
      <w:r w:rsidR="000E150E">
        <w:t xml:space="preserve">umbangan </w:t>
      </w:r>
      <w:r w:rsidR="008F7819">
        <w:t xml:space="preserve">wakaf tunai, namun </w:t>
      </w:r>
      <w:r>
        <w:t xml:space="preserve">bagi wakaf tapak pula RM10 dan RM50 ditetapkan bagi pembelian satu lot bagi pembelian 3 lot kedai yang menempatkan Klinik Pakar Kesihatan dan Pergigian USIM. </w:t>
      </w:r>
    </w:p>
    <w:p w:rsidR="007B5BAF" w:rsidRPr="007B5BAF" w:rsidRDefault="007B5BAF" w:rsidP="007B5BAF">
      <w:r w:rsidRPr="007B5BAF">
        <w:t xml:space="preserve">Cara Pengagihan Wakaf </w:t>
      </w:r>
      <w:r>
        <w:t xml:space="preserve"> pula adalah seperti berikut (USIM, 2017)</w:t>
      </w:r>
      <w:r w:rsidRPr="007B5BAF">
        <w:t>:</w:t>
      </w:r>
    </w:p>
    <w:p w:rsidR="007B5BAF" w:rsidRPr="007B5BAF" w:rsidRDefault="007B5BAF" w:rsidP="00DF7DE7">
      <w:pPr>
        <w:spacing w:line="360" w:lineRule="auto"/>
      </w:pPr>
      <w:r w:rsidRPr="007B5BAF">
        <w:t>1. Pengagihan dari dana Tabung Pendidikan Wakaf kepada pelajar yang layak dan memerlukan dalam bentuk bantuan kewangan, bantuan peralatan pembelajaran seperti buku teks, dan sebagainya .</w:t>
      </w:r>
    </w:p>
    <w:p w:rsidR="007B5BAF" w:rsidRPr="007B5BAF" w:rsidRDefault="007B5BAF" w:rsidP="00DF7DE7">
      <w:pPr>
        <w:spacing w:line="360" w:lineRule="auto"/>
      </w:pPr>
      <w:r w:rsidRPr="007B5BAF">
        <w:lastRenderedPageBreak/>
        <w:t>2.</w:t>
      </w:r>
      <w:r>
        <w:t xml:space="preserve"> </w:t>
      </w:r>
      <w:r w:rsidRPr="007B5BAF">
        <w:t xml:space="preserve">Dana wakaf yang diperolehi dari Wakaf Tunai, Wakaf Tapak dan Tabung Pendidikan tidak akan dicampurkan. Dana tersebut akan digunakan mengikut kepada tujuan sumbangan yang diwakafkan sama ada Wakaf Tapak, Wakaf Tunai ataupun Tabung Pendidikan.   </w:t>
      </w:r>
    </w:p>
    <w:p w:rsidR="008F7819" w:rsidRPr="007B5BAF" w:rsidRDefault="007B5BAF" w:rsidP="00DF7DE7">
      <w:pPr>
        <w:spacing w:line="360" w:lineRule="auto"/>
      </w:pPr>
      <w:r w:rsidRPr="007B5BAF">
        <w:t xml:space="preserve">3.Hasil keuntungan yang diperolehi daripada penjanaan harta wakaf seperti sewaan bangunan akan diagihkan secara sistematik kepada pelajar yang layak. </w:t>
      </w:r>
    </w:p>
    <w:p w:rsidR="0088667F" w:rsidRPr="002C2278" w:rsidRDefault="00AB5504" w:rsidP="005A4D75">
      <w:pPr>
        <w:pStyle w:val="Heading1"/>
        <w:spacing w:line="360" w:lineRule="auto"/>
      </w:pPr>
      <w:r>
        <w:t>6</w:t>
      </w:r>
      <w:r w:rsidR="0088667F" w:rsidRPr="002C2278">
        <w:t>.</w:t>
      </w:r>
      <w:r>
        <w:t xml:space="preserve">Aspek </w:t>
      </w:r>
      <w:r w:rsidR="0088667F" w:rsidRPr="002C2278">
        <w:t>Shariah</w:t>
      </w:r>
      <w:r>
        <w:t xml:space="preserve"> di dalam Penstrukturan Wakaf Korporat</w:t>
      </w:r>
    </w:p>
    <w:p w:rsidR="005A4D75" w:rsidRPr="002C2278" w:rsidRDefault="00AB5504" w:rsidP="005A4D75">
      <w:pPr>
        <w:spacing w:line="360" w:lineRule="auto"/>
      </w:pPr>
      <w:r>
        <w:t>Terdapat beberapa pertimbangan Shariah yang perlu diperhalusi di dalam penstrukturan wakaf korporat. Di antara perkara-perkara penting yang perlu di</w:t>
      </w:r>
      <w:r w:rsidR="00DF7DE7">
        <w:t>ambil</w:t>
      </w:r>
      <w:r>
        <w:t xml:space="preserve"> kira adalah seperti berikut: </w:t>
      </w:r>
    </w:p>
    <w:p w:rsidR="0088667F" w:rsidRPr="00DF7DE7" w:rsidRDefault="00AB5504" w:rsidP="005A4D75">
      <w:pPr>
        <w:spacing w:line="360" w:lineRule="auto"/>
        <w:rPr>
          <w:i/>
        </w:rPr>
      </w:pPr>
      <w:r w:rsidRPr="00843971">
        <w:rPr>
          <w:rStyle w:val="Heading2Char"/>
        </w:rPr>
        <w:t xml:space="preserve">6.1 </w:t>
      </w:r>
      <w:proofErr w:type="spellStart"/>
      <w:r w:rsidRPr="00843971">
        <w:rPr>
          <w:rStyle w:val="Heading2Char"/>
        </w:rPr>
        <w:t>Kelayakan</w:t>
      </w:r>
      <w:proofErr w:type="spellEnd"/>
      <w:r w:rsidRPr="00843971">
        <w:rPr>
          <w:rStyle w:val="Heading2Char"/>
        </w:rPr>
        <w:t xml:space="preserve"> </w:t>
      </w:r>
      <w:proofErr w:type="spellStart"/>
      <w:r w:rsidRPr="00843971">
        <w:rPr>
          <w:rStyle w:val="Heading2Char"/>
        </w:rPr>
        <w:t>Undang-undang</w:t>
      </w:r>
      <w:proofErr w:type="spellEnd"/>
      <w:r w:rsidRPr="00843971">
        <w:rPr>
          <w:rStyle w:val="Heading2Char"/>
        </w:rPr>
        <w:t xml:space="preserve"> (Legal Capacity) </w:t>
      </w:r>
      <w:proofErr w:type="spellStart"/>
      <w:r w:rsidRPr="00843971">
        <w:rPr>
          <w:rStyle w:val="Heading2Char"/>
        </w:rPr>
        <w:t>dan</w:t>
      </w:r>
      <w:proofErr w:type="spellEnd"/>
      <w:r w:rsidRPr="00843971">
        <w:rPr>
          <w:rStyle w:val="Heading2Char"/>
        </w:rPr>
        <w:t xml:space="preserve"> </w:t>
      </w:r>
      <w:proofErr w:type="spellStart"/>
      <w:r w:rsidRPr="00843971">
        <w:rPr>
          <w:rStyle w:val="Heading2Char"/>
        </w:rPr>
        <w:t>Kuasa</w:t>
      </w:r>
      <w:proofErr w:type="spellEnd"/>
      <w:r w:rsidRPr="00843971">
        <w:rPr>
          <w:rStyle w:val="Heading2Char"/>
        </w:rPr>
        <w:t xml:space="preserve"> </w:t>
      </w:r>
      <w:proofErr w:type="spellStart"/>
      <w:r w:rsidRPr="00843971">
        <w:rPr>
          <w:rStyle w:val="Heading2Char"/>
        </w:rPr>
        <w:t>Undang-undang</w:t>
      </w:r>
      <w:proofErr w:type="spellEnd"/>
      <w:r w:rsidRPr="00843971">
        <w:rPr>
          <w:rStyle w:val="Heading2Char"/>
        </w:rPr>
        <w:t xml:space="preserve"> (Legal </w:t>
      </w:r>
      <w:proofErr w:type="spellStart"/>
      <w:r w:rsidR="00843971" w:rsidRPr="00843971">
        <w:rPr>
          <w:rStyle w:val="Heading2Char"/>
        </w:rPr>
        <w:t>Autority</w:t>
      </w:r>
      <w:proofErr w:type="spellEnd"/>
      <w:r w:rsidR="00843971" w:rsidRPr="00843971">
        <w:rPr>
          <w:rStyle w:val="Heading2Char"/>
        </w:rPr>
        <w:t xml:space="preserve">) </w:t>
      </w:r>
      <w:r w:rsidR="00843971" w:rsidRPr="00DF7DE7">
        <w:rPr>
          <w:rStyle w:val="Heading2Char"/>
          <w:i/>
        </w:rPr>
        <w:t>(</w:t>
      </w:r>
      <w:proofErr w:type="spellStart"/>
      <w:r w:rsidR="00843971" w:rsidRPr="00DF7DE7">
        <w:rPr>
          <w:rStyle w:val="Heading2Char"/>
          <w:i/>
        </w:rPr>
        <w:t>Shakhsiyyah</w:t>
      </w:r>
      <w:proofErr w:type="spellEnd"/>
      <w:r w:rsidR="00843971" w:rsidRPr="00DF7DE7">
        <w:rPr>
          <w:rStyle w:val="Heading2Char"/>
          <w:i/>
        </w:rPr>
        <w:t xml:space="preserve"> </w:t>
      </w:r>
      <w:proofErr w:type="spellStart"/>
      <w:r w:rsidR="0088667F" w:rsidRPr="00DF7DE7">
        <w:rPr>
          <w:rStyle w:val="Heading2Char"/>
          <w:i/>
        </w:rPr>
        <w:t>I’tibariyyah</w:t>
      </w:r>
      <w:proofErr w:type="spellEnd"/>
      <w:r w:rsidRPr="00DF7DE7">
        <w:rPr>
          <w:rStyle w:val="Heading2Char"/>
          <w:i/>
        </w:rPr>
        <w:t>)</w:t>
      </w:r>
    </w:p>
    <w:p w:rsidR="00843971" w:rsidRDefault="00AB5504" w:rsidP="005A4D75">
      <w:pPr>
        <w:spacing w:line="360" w:lineRule="auto"/>
      </w:pPr>
      <w:r>
        <w:t xml:space="preserve">Bagi amalan wakaf, pewakaf </w:t>
      </w:r>
      <w:r w:rsidR="008B4038">
        <w:t xml:space="preserve">adalah merupakan pihak individu yang bersifat natural dan tidak terikat kepada apa-apa perundangan </w:t>
      </w:r>
      <w:r w:rsidR="008B4038" w:rsidRPr="00DF7DE7">
        <w:rPr>
          <w:i/>
        </w:rPr>
        <w:t>(shakhsiyyah haqiqiyyah or tabiciyyah).</w:t>
      </w:r>
      <w:r w:rsidR="008B4038">
        <w:t xml:space="preserve"> Bagaimanapun, bagi wakaf korporat, pewakaf adalah terdiri daripada institusi dan organisasi yang mana akan menimbulkan isu berkaitan dengan konsep kelayakan undang-undang bagi individu ataupun entiti </w:t>
      </w:r>
      <w:r w:rsidR="008B4038" w:rsidRPr="00DF7DE7">
        <w:rPr>
          <w:i/>
        </w:rPr>
        <w:t>(shakhsiyyah ictibariyyah/ qanuniyyah/ macnawiyyah).</w:t>
      </w:r>
      <w:r w:rsidR="008B4038">
        <w:t xml:space="preserve"> Namun begitu, isu ini dianggap selesai apabila kebanyakan ahli-ahli perundangan Islam bersetuju untuk mengiktiraf peranan institusi dan organisasi di dalam wakaf korporat sepertimana institusi bayt al-mal dan masjid. Institusi yang terlibat di dalam wakaf korporat perlulah memiliki dua kelayakan yang berkaitan dengan </w:t>
      </w:r>
      <w:r w:rsidR="008B4038" w:rsidRPr="00DF7DE7">
        <w:rPr>
          <w:i/>
        </w:rPr>
        <w:t>shakhsiyyah ictibariyyah</w:t>
      </w:r>
      <w:r w:rsidR="008B4038">
        <w:t xml:space="preserve"> ini iaitu kelayakan undang-undang (legal capacity) dan kuasa undang-undang (legal authority). </w:t>
      </w:r>
      <w:r w:rsidR="002D0039">
        <w:t xml:space="preserve">Merujuk kepada kuasa undang-undang institusi wakaf korporat, pewakaf mestilah merupakan pemilik kepada aset wakaf ataupun wakil yang dilantik oleh pemilik aset berdasarkan kepada kontrak agensi </w:t>
      </w:r>
      <w:r w:rsidR="002D0039" w:rsidRPr="00DF7DE7">
        <w:rPr>
          <w:i/>
        </w:rPr>
        <w:t>(wakalah).</w:t>
      </w:r>
      <w:r w:rsidR="002D0039">
        <w:t xml:space="preserve"> Sekiranya pewakaf tidak memiliki kelayakan </w:t>
      </w:r>
      <w:r w:rsidR="002D0039" w:rsidRPr="00DF7DE7">
        <w:rPr>
          <w:i/>
        </w:rPr>
        <w:t>(ahliyyah)</w:t>
      </w:r>
      <w:r w:rsidR="002D0039">
        <w:t xml:space="preserve"> dan kuasa </w:t>
      </w:r>
      <w:r w:rsidR="002D0039" w:rsidRPr="00DF7DE7">
        <w:rPr>
          <w:i/>
        </w:rPr>
        <w:t>(wilayah)</w:t>
      </w:r>
      <w:r w:rsidR="002D0039">
        <w:t xml:space="preserve"> undang-undang  berkaitan dengan aset wakaf</w:t>
      </w:r>
      <w:r w:rsidRPr="00AB5504">
        <w:t>,</w:t>
      </w:r>
      <w:r w:rsidR="002D0039">
        <w:t xml:space="preserve"> maka transaksi yang dilakukan terhadap aset tersebut dikenali sebagai </w:t>
      </w:r>
      <w:r w:rsidR="002D0039" w:rsidRPr="00DF7DE7">
        <w:rPr>
          <w:i/>
        </w:rPr>
        <w:t>fadalah</w:t>
      </w:r>
      <w:r w:rsidR="002D0039">
        <w:t xml:space="preserve"> di dalam sistem perundangan Islam.  </w:t>
      </w:r>
      <w:r w:rsidRPr="00AB5504">
        <w:t xml:space="preserve"> </w:t>
      </w:r>
      <w:r w:rsidR="002D0039">
        <w:t xml:space="preserve">Ulama’-ulama’ Mazhab Hanafi, Maliki dan satu pendapat </w:t>
      </w:r>
      <w:r w:rsidRPr="00AB5504">
        <w:t>Imam</w:t>
      </w:r>
      <w:r w:rsidR="002D0039">
        <w:t xml:space="preserve"> </w:t>
      </w:r>
      <w:r w:rsidRPr="00AB5504">
        <w:t xml:space="preserve"> Ahmad</w:t>
      </w:r>
      <w:r w:rsidR="002D0039">
        <w:t xml:space="preserve"> memperakui kontrak </w:t>
      </w:r>
      <w:r w:rsidR="002D0039" w:rsidRPr="00DF7DE7">
        <w:rPr>
          <w:i/>
        </w:rPr>
        <w:t xml:space="preserve">fadalah </w:t>
      </w:r>
      <w:r w:rsidR="002D0039">
        <w:t>ini tetapi ianya tertangguh bergantung kepada kelulusan pemilik aset. Menurut ahli-ahli fekah Mazhab Shafie, satu pendapat Imam Malik dan Imam Ahmad pula menyatakan bahawa kontrak tersebut terbatal dan tidak sah</w:t>
      </w:r>
      <w:r w:rsidRPr="00AB5504">
        <w:t xml:space="preserve"> (WASI, 1983). </w:t>
      </w:r>
      <w:r w:rsidR="002D0039">
        <w:t>Isu ini mungkin timbul s</w:t>
      </w:r>
      <w:r w:rsidR="003430B9">
        <w:t xml:space="preserve">ekiranya </w:t>
      </w:r>
      <w:r w:rsidR="003430B9">
        <w:lastRenderedPageBreak/>
        <w:t>sesebuah syarikat berbanding</w:t>
      </w:r>
      <w:r w:rsidR="002D0039">
        <w:t xml:space="preserve"> individidu seperti syarikat milikan kerajaan yang ingin menubuhkan</w:t>
      </w:r>
      <w:r w:rsidR="00843971">
        <w:t xml:space="preserve"> skim wakaf korporatnya sendiri.</w:t>
      </w:r>
    </w:p>
    <w:p w:rsidR="0088667F" w:rsidRDefault="00843971" w:rsidP="005A4D75">
      <w:pPr>
        <w:pStyle w:val="Heading2"/>
        <w:spacing w:line="360" w:lineRule="auto"/>
      </w:pPr>
      <w:r>
        <w:t xml:space="preserve">6.2 </w:t>
      </w:r>
      <w:r w:rsidR="003430B9" w:rsidRPr="003430B9">
        <w:t>Pewakaf Berwakaf</w:t>
      </w:r>
      <w:r w:rsidR="003430B9">
        <w:t xml:space="preserve"> Untuk Dirinya Sendiri </w:t>
      </w:r>
      <w:r w:rsidR="003430B9" w:rsidRPr="00DF7DE7">
        <w:rPr>
          <w:i/>
        </w:rPr>
        <w:t>(Waqf ala al-Waqif)</w:t>
      </w:r>
    </w:p>
    <w:p w:rsidR="003430B9" w:rsidRDefault="003430B9" w:rsidP="005A4D75">
      <w:pPr>
        <w:spacing w:line="360" w:lineRule="auto"/>
      </w:pPr>
      <w:r>
        <w:t>Secara umumnya amalan wakaf bertujuan untuk kebajikan dan mendapatkan keredaan Allah. Dengan sebab itu majoriti ulama’ perundangan Islam berpandangan bahawa pemilikan wakaf tidak diserahkan semula kepada pewakaf, lantaran ini akan menghilangkan tujuan asal wakaf itu sendiri. Walaubagaimanapun, berdasarkan kepada penelitian penulis, didapati terdapat amalan wakaf korporat yang menamakan pewakaf sebagai pemilik aset wakaf. Maka bagaimanakah pandangan ulama’ fekah berkaitan dengan isu ini? Jawapannya adalah seperti di bawah.</w:t>
      </w:r>
    </w:p>
    <w:p w:rsidR="003430B9" w:rsidRDefault="003430B9" w:rsidP="005A4D75">
      <w:pPr>
        <w:spacing w:line="360" w:lineRule="auto"/>
      </w:pPr>
      <w:r>
        <w:t xml:space="preserve">Pendapat utama ahli-ahli perundangan Islam tentang perkara ini menyatakan bahawa pewakaf tidak boleh memiliki semula aset wakaf yang telah diwakafkannya. Pandangan ini adalah merupakan pendapat Mazhab Maliki, Mazhab Shafi’e yang merupakan pandangan terkuat </w:t>
      </w:r>
      <w:r w:rsidRPr="00DF7DE7">
        <w:rPr>
          <w:i/>
        </w:rPr>
        <w:t>(al-asah)</w:t>
      </w:r>
      <w:r w:rsidR="00570EDD">
        <w:t xml:space="preserve">, pandangan Mazhab Hanbali dan juga pandangan Muhammad Ibn Hasan dari Mazhab Hanafi. Namun begitu, amalan ini diterima menurut pandangan Abu Yusuf dari Mazhab Hanafi dan ianya juga merupakan pendapat Mazhab Hanafi serta satu pandangan Mazhab Shafi’e dan Imam Ahmad bin Hanbal </w:t>
      </w:r>
      <w:r>
        <w:t>(WASI, 1983).</w:t>
      </w:r>
    </w:p>
    <w:p w:rsidR="003430B9" w:rsidRPr="003430B9" w:rsidRDefault="00570EDD" w:rsidP="005A4D75">
      <w:pPr>
        <w:spacing w:line="360" w:lineRule="auto"/>
      </w:pPr>
      <w:r>
        <w:t>Penulis lebih cenderung untuk bersetuju dengan pandangan kedua yang menerima amalan ini yangmana jika ditinjau dari sudut amalan wakaf korporat, institusi terbabit tidaklah berniat untuk memiliki aset wakaf yang telah diwakafkan. Pemilikan semula aset wakaf tersebut untuk memberikan peluang kepada entiti wakaf korporat fleksibiliti untuk mengurus, membahagikan, meyalurkan manfaat wakaf hatta menggunakan manfaat tersebut.  Institusi wakaf korporat boleh menggunakan manfaat wakaf bagi tujuan pembiayaan program CSR dan dalam keadaan tertentu manfaat wakaf ini digunakan untuk pembiayaan bisnes dan operasi.  Fleksibiliti ini memberikan motivasi yang kuat untuk penglibatan entiti-e</w:t>
      </w:r>
      <w:r w:rsidR="005B0127">
        <w:t xml:space="preserve">ntiti korporat di dalam aktiviti wakaf korporat dan pematuhan kepada aspek Shariah. Namun begitu pendapat ini mungkin bertentangan dengan undang-undang semasa berkaitan wakaf. </w:t>
      </w:r>
      <w:r>
        <w:t xml:space="preserve"> </w:t>
      </w:r>
    </w:p>
    <w:p w:rsidR="0088667F" w:rsidRDefault="005B0127" w:rsidP="005A4D75">
      <w:pPr>
        <w:pStyle w:val="Heading2"/>
        <w:spacing w:line="360" w:lineRule="auto"/>
      </w:pPr>
      <w:r>
        <w:t xml:space="preserve">6.3 Pewakaf </w:t>
      </w:r>
      <w:r w:rsidR="00DF7DE7">
        <w:rPr>
          <w:i/>
        </w:rPr>
        <w:t>(al-Waq</w:t>
      </w:r>
      <w:r w:rsidRPr="00DF7DE7">
        <w:rPr>
          <w:i/>
        </w:rPr>
        <w:t>if)</w:t>
      </w:r>
      <w:r>
        <w:t xml:space="preserve"> Mensyaratkan Manfaat Wakaf </w:t>
      </w:r>
      <w:r w:rsidRPr="00DF7DE7">
        <w:rPr>
          <w:i/>
        </w:rPr>
        <w:t>(al-Ghallah)</w:t>
      </w:r>
      <w:r>
        <w:t>Untuk Dirinya</w:t>
      </w:r>
      <w:r w:rsidR="00843971">
        <w:t xml:space="preserve"> </w:t>
      </w:r>
    </w:p>
    <w:p w:rsidR="005B0127" w:rsidRPr="005B0127" w:rsidRDefault="005B0127" w:rsidP="005A4D75">
      <w:pPr>
        <w:spacing w:line="360" w:lineRule="auto"/>
      </w:pPr>
      <w:r>
        <w:t xml:space="preserve">Isu lain yang timbul yang seakan sama dengan permasalahan Shariah sebelum ini adalah berkaitan pewakaf yang mensyaratkan bahawa hasil manfaat wakaf </w:t>
      </w:r>
      <w:r w:rsidR="00DF7DE7">
        <w:rPr>
          <w:i/>
        </w:rPr>
        <w:t>(al-gha</w:t>
      </w:r>
      <w:r w:rsidRPr="00DF7DE7">
        <w:rPr>
          <w:i/>
        </w:rPr>
        <w:t>llah)</w:t>
      </w:r>
      <w:r>
        <w:t xml:space="preserve"> diserahkan secara sepenuhnya kepada dirinya sebagai penerima tunggal ataupun sebahagian dari </w:t>
      </w:r>
      <w:r>
        <w:lastRenderedPageBreak/>
        <w:t>penerima. Mazhab Hanvbali, Hanafi dan satu pendapat Mazhab Shafi’e berpandangan bahawa syarat-syarat tersebut adalah dibenarkan bagi menarik orang ramai untuk berwakaf berdasarkan kepada dalil Syara’. Walaubagaimanapun, pendapat Mazhab Shafi’e dan Muhammad Ibn Hasan dari Mazhab Hanafi tidak membenarkan amalan ini melainkan dengan pengecualian-pengecualian tertentu</w:t>
      </w:r>
      <w:r w:rsidRPr="005B0127">
        <w:t xml:space="preserve"> (WASI, 1983).</w:t>
      </w:r>
    </w:p>
    <w:p w:rsidR="0088667F" w:rsidRPr="002C2278" w:rsidRDefault="005B0127" w:rsidP="005A4D75">
      <w:pPr>
        <w:pStyle w:val="Heading2"/>
        <w:spacing w:line="360" w:lineRule="auto"/>
      </w:pPr>
      <w:r>
        <w:t xml:space="preserve">6.4 </w:t>
      </w:r>
      <w:r w:rsidR="00DF7DE7">
        <w:t>Wakaf</w:t>
      </w:r>
      <w:r w:rsidR="0088667F" w:rsidRPr="002C2278">
        <w:t xml:space="preserve"> </w:t>
      </w:r>
      <w:r>
        <w:t xml:space="preserve">Hybrid </w:t>
      </w:r>
      <w:r w:rsidR="0088667F" w:rsidRPr="00DF7DE7">
        <w:rPr>
          <w:i/>
        </w:rPr>
        <w:t>(Waqf Mushtarak)</w:t>
      </w:r>
      <w:r w:rsidR="0088667F" w:rsidRPr="002C2278">
        <w:t xml:space="preserve">: </w:t>
      </w:r>
      <w:r>
        <w:t>Kombinasi</w:t>
      </w:r>
      <w:r w:rsidR="0088667F" w:rsidRPr="002C2278">
        <w:t xml:space="preserve"> </w:t>
      </w:r>
      <w:r w:rsidR="0088667F" w:rsidRPr="00DF7DE7">
        <w:rPr>
          <w:i/>
        </w:rPr>
        <w:t>Waqf Khayri</w:t>
      </w:r>
      <w:r w:rsidR="0088667F" w:rsidRPr="002C2278">
        <w:t xml:space="preserve"> and </w:t>
      </w:r>
      <w:r w:rsidR="0088667F" w:rsidRPr="00DF7DE7">
        <w:rPr>
          <w:i/>
        </w:rPr>
        <w:t>Waqf Ahli/Dhurri</w:t>
      </w:r>
    </w:p>
    <w:p w:rsidR="005B0127" w:rsidRDefault="005B0127" w:rsidP="005A4D75">
      <w:pPr>
        <w:spacing w:line="360" w:lineRule="auto"/>
      </w:pPr>
      <w:r>
        <w:t xml:space="preserve">Merujuk kepada penerima-penerima manfaat wakaf, wakaf boleh dikategorikan kepada wakaf berbentuk kebajikan </w:t>
      </w:r>
      <w:r w:rsidRPr="00DF7DE7">
        <w:rPr>
          <w:i/>
        </w:rPr>
        <w:t>(kha</w:t>
      </w:r>
      <w:r w:rsidR="002D0E03" w:rsidRPr="00DF7DE7">
        <w:rPr>
          <w:i/>
        </w:rPr>
        <w:t>y</w:t>
      </w:r>
      <w:r w:rsidRPr="00DF7DE7">
        <w:rPr>
          <w:i/>
        </w:rPr>
        <w:t>ri)</w:t>
      </w:r>
      <w:r>
        <w:t xml:space="preserve"> dan waka</w:t>
      </w:r>
      <w:r w:rsidR="002D0E03">
        <w:t xml:space="preserve">f kepada keluarga </w:t>
      </w:r>
      <w:r w:rsidR="002D0E03" w:rsidRPr="00DF7DE7">
        <w:rPr>
          <w:i/>
        </w:rPr>
        <w:t>(ahli/dhurri).</w:t>
      </w:r>
      <w:r w:rsidR="002D0E03">
        <w:t xml:space="preserve"> Berdasarkan kepada amalan wakaf korporat, didapati bahawa terdapat institusi wakaf yang mensyaratkan bahawa institusi terbabit ataupun subsidiarinya menerima manfaat wakaf. Sebagaimana yang telah dibincangkan di atas, terdapat sebahagian ulama’ yang membenarkan amalan ini. Manakala jika ditinjau dari aspek shariah,  </w:t>
      </w:r>
      <w:r w:rsidR="00DF7DE7">
        <w:t>kombinasi wakaf</w:t>
      </w:r>
      <w:r w:rsidR="00032DEB">
        <w:t xml:space="preserve"> </w:t>
      </w:r>
      <w:r w:rsidR="00032DEB" w:rsidRPr="00DF7DE7">
        <w:rPr>
          <w:i/>
        </w:rPr>
        <w:t xml:space="preserve">khayri </w:t>
      </w:r>
      <w:r w:rsidR="00032DEB">
        <w:t xml:space="preserve">dan </w:t>
      </w:r>
      <w:r w:rsidR="00032DEB" w:rsidRPr="00DF7DE7">
        <w:rPr>
          <w:i/>
        </w:rPr>
        <w:t>d</w:t>
      </w:r>
      <w:r w:rsidR="00DF7DE7" w:rsidRPr="00DF7DE7">
        <w:rPr>
          <w:i/>
        </w:rPr>
        <w:t>hurri</w:t>
      </w:r>
      <w:r w:rsidR="00DF7DE7">
        <w:t xml:space="preserve"> dikenali sebagai wakaf </w:t>
      </w:r>
      <w:r w:rsidR="00DF7DE7" w:rsidRPr="00DF7DE7">
        <w:rPr>
          <w:i/>
        </w:rPr>
        <w:t>mu</w:t>
      </w:r>
      <w:r w:rsidR="00032DEB" w:rsidRPr="00DF7DE7">
        <w:rPr>
          <w:i/>
        </w:rPr>
        <w:t>s</w:t>
      </w:r>
      <w:r w:rsidR="00DF7DE7" w:rsidRPr="00DF7DE7">
        <w:rPr>
          <w:i/>
        </w:rPr>
        <w:t>h</w:t>
      </w:r>
      <w:r w:rsidR="00032DEB" w:rsidRPr="00DF7DE7">
        <w:rPr>
          <w:i/>
        </w:rPr>
        <w:t>tarak</w:t>
      </w:r>
      <w:r w:rsidR="00032DEB">
        <w:t xml:space="preserve">. Darpada perspektif pengurusan, wakaf </w:t>
      </w:r>
      <w:r w:rsidR="00032DEB" w:rsidRPr="00DF7DE7">
        <w:rPr>
          <w:i/>
        </w:rPr>
        <w:t>mu</w:t>
      </w:r>
      <w:r w:rsidR="00DF7DE7" w:rsidRPr="00DF7DE7">
        <w:rPr>
          <w:i/>
        </w:rPr>
        <w:t>s</w:t>
      </w:r>
      <w:r w:rsidR="00032DEB" w:rsidRPr="00DF7DE7">
        <w:rPr>
          <w:i/>
        </w:rPr>
        <w:t>htarak</w:t>
      </w:r>
      <w:r w:rsidR="00DF7DE7">
        <w:t xml:space="preserve"> mem</w:t>
      </w:r>
      <w:r w:rsidR="00032DEB">
        <w:t xml:space="preserve">berikan kelebihan kepada institusi atau organisasi untuk terlibat di dalam wakaf korporat. Institusi tersebut boleh menyusun skim wakaf korporat dan program CSR secara serentak. </w:t>
      </w:r>
    </w:p>
    <w:p w:rsidR="0088667F" w:rsidRDefault="00032DEB" w:rsidP="005A4D75">
      <w:pPr>
        <w:pStyle w:val="Heading2"/>
        <w:spacing w:line="360" w:lineRule="auto"/>
      </w:pPr>
      <w:r>
        <w:t>6</w:t>
      </w:r>
      <w:r w:rsidR="0088667F" w:rsidRPr="002C2278">
        <w:t xml:space="preserve">.5 </w:t>
      </w:r>
      <w:r>
        <w:t>Penggantian Aset Wakaf yang Sama Nilai</w:t>
      </w:r>
      <w:r w:rsidRPr="00DF7DE7">
        <w:rPr>
          <w:i/>
        </w:rPr>
        <w:t>(</w:t>
      </w:r>
      <w:r w:rsidR="0088667F" w:rsidRPr="00DF7DE7">
        <w:rPr>
          <w:i/>
        </w:rPr>
        <w:t>Istibdal</w:t>
      </w:r>
      <w:r w:rsidRPr="00DF7DE7">
        <w:rPr>
          <w:i/>
        </w:rPr>
        <w:t>)</w:t>
      </w:r>
    </w:p>
    <w:p w:rsidR="00032DEB" w:rsidRPr="00032DEB" w:rsidRDefault="00032DEB" w:rsidP="005A4D75">
      <w:pPr>
        <w:spacing w:line="360" w:lineRule="auto"/>
      </w:pPr>
      <w:r>
        <w:t xml:space="preserve">Isu berkaitan penggantian aset wakaf dengan aset lain yang mempunyai nilai yang sama atau lebih </w:t>
      </w:r>
      <w:r w:rsidRPr="00DF7DE7">
        <w:rPr>
          <w:i/>
        </w:rPr>
        <w:t>(istibdal)</w:t>
      </w:r>
      <w:r>
        <w:t xml:space="preserve"> adalah merupakan perkara penting kemampanan dan kesinambungan wakaf korporat. Sekalipun amalan </w:t>
      </w:r>
      <w:r w:rsidRPr="00DF7DE7">
        <w:rPr>
          <w:i/>
        </w:rPr>
        <w:t>istibdal</w:t>
      </w:r>
      <w:r>
        <w:t xml:space="preserve"> dibenarkan oleh sebahagian ulama’ dengan memenuhi syarat-syarat tertentu</w:t>
      </w:r>
      <w:r w:rsidR="002C25A5">
        <w:t xml:space="preserve">, isu ini perlu diteliti dengan lebih mendalam bagi menjamin pematuhan Shariah dipenuhi di dalam perlaksanaan </w:t>
      </w:r>
      <w:r w:rsidR="002C25A5" w:rsidRPr="00DF7DE7">
        <w:rPr>
          <w:i/>
        </w:rPr>
        <w:t>istibdal</w:t>
      </w:r>
      <w:r w:rsidR="002C25A5">
        <w:t xml:space="preserve">. WANCorp sebagai peneraju wakaf korporat telah melaksanakan </w:t>
      </w:r>
      <w:r w:rsidR="002C25A5" w:rsidRPr="00DF7DE7">
        <w:rPr>
          <w:i/>
        </w:rPr>
        <w:t xml:space="preserve">istibdal </w:t>
      </w:r>
      <w:r w:rsidR="002C25A5">
        <w:t xml:space="preserve">yang berlaku pada 29 Jun 2009 apabila saham wakaf Johor Land Berhad telah digantikan dengan saham Al-‘Aqar KPJ REIT yang telah dinyahsenaraikan daripada Bursa Malaysia. </w:t>
      </w:r>
    </w:p>
    <w:p w:rsidR="0088667F" w:rsidRPr="002C2278" w:rsidRDefault="002C25A5" w:rsidP="005A4D75">
      <w:pPr>
        <w:spacing w:line="360" w:lineRule="auto"/>
      </w:pPr>
      <w:r w:rsidRPr="00DF7DE7">
        <w:rPr>
          <w:i/>
        </w:rPr>
        <w:t>Istibdal</w:t>
      </w:r>
      <w:r>
        <w:t xml:space="preserve"> yang dilakukan ini adalah berdasarkan kepada nilai pasaran semasa saham terbabit dan bukannya jumlah unit saham. Sejumlah 4</w:t>
      </w:r>
      <w:r w:rsidR="0088667F" w:rsidRPr="002C2278">
        <w:t xml:space="preserve">.32 </w:t>
      </w:r>
      <w:r>
        <w:t>juta unit saham</w:t>
      </w:r>
      <w:r w:rsidR="0088667F" w:rsidRPr="002C2278">
        <w:t xml:space="preserve"> Johor Land Berhad</w:t>
      </w:r>
      <w:r>
        <w:t xml:space="preserve"> yang mempunyai nilai pasaran semasa itu sekitar RM 13 juta telah digantikan dengan 12.62 juta unit saham Al-‘Aqar yang juga mempunyai nilai pasaran RM13 juta. Amalan </w:t>
      </w:r>
      <w:r w:rsidRPr="00DF7DE7">
        <w:rPr>
          <w:i/>
        </w:rPr>
        <w:t>istibdal</w:t>
      </w:r>
      <w:r>
        <w:t xml:space="preserve"> yang dilakukan telah mendapat perakuan daripada pihak Mufti Johor dan boleh menjadi duluan </w:t>
      </w:r>
      <w:r w:rsidRPr="00DF7DE7">
        <w:rPr>
          <w:i/>
        </w:rPr>
        <w:t>(precedent)</w:t>
      </w:r>
      <w:r>
        <w:t xml:space="preserve"> pada masa akan datang. </w:t>
      </w:r>
    </w:p>
    <w:p w:rsidR="0088667F" w:rsidRPr="002C2278" w:rsidRDefault="002C25A5" w:rsidP="005A4D75">
      <w:pPr>
        <w:pStyle w:val="Heading1"/>
      </w:pPr>
      <w:r>
        <w:lastRenderedPageBreak/>
        <w:t>7. Kesimpulan dan Cadangan</w:t>
      </w:r>
    </w:p>
    <w:p w:rsidR="002C25A5" w:rsidRDefault="002C25A5" w:rsidP="005A4D75">
      <w:pPr>
        <w:spacing w:line="360" w:lineRule="auto"/>
      </w:pPr>
      <w:r>
        <w:t>Kelebihan wakaf korporat boleh dilihat dari beberapa sudut seperti saiz aset dan dana yang besar, kumpulan pengurusan</w:t>
      </w:r>
      <w:r w:rsidR="00582AEC">
        <w:t xml:space="preserve"> yang</w:t>
      </w:r>
      <w:r>
        <w:t xml:space="preserve"> profesional,</w:t>
      </w:r>
      <w:r w:rsidR="00582AEC">
        <w:t xml:space="preserve"> keyakinan masyarakat terhadap tadbirurus korporatnya serta pengiktirafan daripada pihak kerajaan. Kesemua aspek ini boleh melonjakkan potensi wakaf korporat sebagai salah satu intrumen wakaf berpotensi tinggi untuk dibangunkan dan dikembangkan. Lantaran itu, pengembelingan tenaga dan sokongan pihak-pihak berkepentingan wakaf seperti Majlis Agama Islam Negeri, JAWHAR dan badan-badan fatwa amat diperlukan bagi memperkukuhkan dan mengembalikan peranan besar institusi wakaf dalam pembangunan ummah seperti yang pernah dialami sewaktu zaman kegemilangan Islam. </w:t>
      </w:r>
    </w:p>
    <w:p w:rsidR="00582AEC" w:rsidRDefault="00582AEC" w:rsidP="005A4D75">
      <w:pPr>
        <w:spacing w:line="360" w:lineRule="auto"/>
      </w:pPr>
      <w:r>
        <w:t>Di dalam memastikan wakaf korporat berperanan penting di dalam membantu meningkatkan sosio-ekonomi umat Islam dalam pelbagai sektor seperti pendidikan, kesihatan dan sosial dinyatakan beberapa cadangan seperti di bawah:</w:t>
      </w:r>
    </w:p>
    <w:p w:rsidR="00582AEC" w:rsidRDefault="00582AEC" w:rsidP="005A4D75">
      <w:pPr>
        <w:pStyle w:val="ListParagraph"/>
        <w:numPr>
          <w:ilvl w:val="0"/>
          <w:numId w:val="21"/>
        </w:numPr>
        <w:spacing w:line="360" w:lineRule="auto"/>
      </w:pPr>
      <w:r>
        <w:t xml:space="preserve">Penubuhan wakaf korporat hendaklah mengikut saluran perundangan terutamanya dengan pihak berautoriti wakaf negeri-negeri bagi menjamin </w:t>
      </w:r>
      <w:r w:rsidR="00A9389B">
        <w:t>kemampanan dan kesinambungannya.</w:t>
      </w:r>
    </w:p>
    <w:p w:rsidR="00A9389B" w:rsidRDefault="00A9389B" w:rsidP="005A4D75">
      <w:pPr>
        <w:pStyle w:val="ListParagraph"/>
        <w:numPr>
          <w:ilvl w:val="0"/>
          <w:numId w:val="21"/>
        </w:numPr>
        <w:spacing w:line="360" w:lineRule="auto"/>
      </w:pPr>
      <w:r>
        <w:t xml:space="preserve">Aspek tadbir urus korporat wakaf tunai seperti akauntabiliti, ketelusan dan profesionalisma perlulah dijaga dan dipertingkatkan bagi meningkatkan kepercayaan </w:t>
      </w:r>
      <w:r w:rsidRPr="00DF7DE7">
        <w:rPr>
          <w:i/>
        </w:rPr>
        <w:t>(trust)</w:t>
      </w:r>
      <w:r>
        <w:t xml:space="preserve"> dan keyakinan masyarakat kepada institusi wakaf. Pelaporan kewangan secara berkala seperti Laporan Tahunan hendaklah dikeluarkan dan sekiranya perlu Laporan Suku Tahunan </w:t>
      </w:r>
      <w:r w:rsidR="00A2141C">
        <w:t>dikeluarkan</w:t>
      </w:r>
      <w:r>
        <w:t xml:space="preserve">.  </w:t>
      </w:r>
    </w:p>
    <w:p w:rsidR="00A9389B" w:rsidRDefault="00A9389B" w:rsidP="005A4D75">
      <w:pPr>
        <w:pStyle w:val="ListParagraph"/>
        <w:numPr>
          <w:ilvl w:val="0"/>
          <w:numId w:val="21"/>
        </w:numPr>
        <w:spacing w:line="360" w:lineRule="auto"/>
      </w:pPr>
      <w:r>
        <w:t xml:space="preserve">Aspek penyampaian perkhidmatan </w:t>
      </w:r>
      <w:r w:rsidRPr="00DF7DE7">
        <w:rPr>
          <w:i/>
        </w:rPr>
        <w:t>(service delivery)</w:t>
      </w:r>
      <w:r>
        <w:t xml:space="preserve"> terbaik pula seperti penggunaan kaedah-kaedah terkini penerimaan aset wakaf seperti terimaan wang melalui atas talian boleh digunakan. Penyaluran manfaat wakaf juga boleh dilakukan menggunakan kaedah-kaedah baru yang difikirkan sesuai.</w:t>
      </w:r>
    </w:p>
    <w:p w:rsidR="00A9389B" w:rsidRDefault="00A9389B" w:rsidP="005A4D75">
      <w:pPr>
        <w:pStyle w:val="ListParagraph"/>
        <w:numPr>
          <w:ilvl w:val="0"/>
          <w:numId w:val="21"/>
        </w:numPr>
        <w:spacing w:line="360" w:lineRule="auto"/>
      </w:pPr>
      <w:r>
        <w:t>Manfaat wakaf yang dihasilkan melalui aset wakaf korporat boleh diperluaskan kepada pelbagai sektor dan pembiayaan fasiliti</w:t>
      </w:r>
      <w:r w:rsidR="00A2141C">
        <w:t>-fasiliti</w:t>
      </w:r>
      <w:r>
        <w:t xml:space="preserve"> awam seperti jalanraya dan jambatan. </w:t>
      </w:r>
    </w:p>
    <w:p w:rsidR="00A9389B" w:rsidRDefault="00A2141C" w:rsidP="005A4D75">
      <w:pPr>
        <w:pStyle w:val="ListParagraph"/>
        <w:numPr>
          <w:ilvl w:val="0"/>
          <w:numId w:val="21"/>
        </w:numPr>
        <w:spacing w:line="360" w:lineRule="auto"/>
      </w:pPr>
      <w:r>
        <w:lastRenderedPageBreak/>
        <w:t>Bagi menarik lebih banyak entiti-entiti korporat terlibat dalam aktiviti wakaf korporat, insentif-insentif seperti pengecualian dan pengurangan</w:t>
      </w:r>
      <w:r w:rsidR="00DF7DE7">
        <w:t xml:space="preserve"> cukai</w:t>
      </w:r>
      <w:r>
        <w:t xml:space="preserve"> boleh diwujudkan oleh pihak berkuasa. </w:t>
      </w:r>
    </w:p>
    <w:p w:rsidR="00C33E04" w:rsidRPr="00AB0B29" w:rsidRDefault="00F25F16" w:rsidP="00734FF6">
      <w:pPr>
        <w:pStyle w:val="Heading1"/>
      </w:pPr>
      <w:bookmarkStart w:id="11" w:name="_Toc346890700"/>
      <w:bookmarkEnd w:id="10"/>
      <w:r w:rsidRPr="00AB0B29">
        <w:t>5</w:t>
      </w:r>
      <w:r w:rsidR="00C33E04" w:rsidRPr="00AB0B29">
        <w:t xml:space="preserve">. </w:t>
      </w:r>
      <w:bookmarkEnd w:id="11"/>
      <w:r w:rsidR="00A26309">
        <w:t>Rujukan</w:t>
      </w:r>
    </w:p>
    <w:p w:rsidR="000A59C3" w:rsidRDefault="00D452DD" w:rsidP="000A59C3">
      <w:pPr>
        <w:spacing w:after="120" w:line="240" w:lineRule="auto"/>
        <w:ind w:left="720" w:hanging="720"/>
        <w:rPr>
          <w:rFonts w:ascii="Times New Roman" w:hAnsi="Times New Roman" w:cs="Times New Roman"/>
          <w:noProof/>
        </w:rPr>
      </w:pPr>
      <w:r w:rsidRPr="00AB0B29">
        <w:fldChar w:fldCharType="begin"/>
      </w:r>
      <w:r w:rsidR="00C33E04" w:rsidRPr="00DD53A8">
        <w:instrText xml:space="preserve"> ADDIN EN.REFLIST </w:instrText>
      </w:r>
      <w:r w:rsidRPr="00AB0B29">
        <w:fldChar w:fldCharType="separate"/>
      </w:r>
      <w:bookmarkStart w:id="12" w:name="_ENREF_1"/>
      <w:bookmarkStart w:id="13" w:name="_Hlk489564831"/>
      <w:r w:rsidR="000A59C3" w:rsidRPr="00AB0B29">
        <w:rPr>
          <w:rFonts w:ascii="Times New Roman" w:hAnsi="Times New Roman" w:cs="Times New Roman"/>
          <w:noProof/>
        </w:rPr>
        <w:t xml:space="preserve">Abdullaah Jalil and Asharaf Mohd. Ramli. (2008) Waqf Instruments for Construction Contract: An Analysis of Structure. </w:t>
      </w:r>
      <w:r w:rsidR="000A59C3" w:rsidRPr="00AB0B29">
        <w:rPr>
          <w:rFonts w:ascii="Times New Roman" w:hAnsi="Times New Roman" w:cs="Times New Roman"/>
          <w:i/>
          <w:noProof/>
        </w:rPr>
        <w:t>The Journal of Muamalat and Islamic Finance Research (JMIFR)</w:t>
      </w:r>
      <w:r w:rsidR="000A59C3" w:rsidRPr="00AB0B29">
        <w:rPr>
          <w:rFonts w:ascii="Times New Roman" w:hAnsi="Times New Roman" w:cs="Times New Roman"/>
          <w:noProof/>
        </w:rPr>
        <w:t xml:space="preserve"> 5: 14.</w:t>
      </w:r>
      <w:bookmarkEnd w:id="12"/>
    </w:p>
    <w:bookmarkEnd w:id="13"/>
    <w:p w:rsidR="00B829AB" w:rsidRDefault="00B829AB" w:rsidP="00B829AB">
      <w:pPr>
        <w:spacing w:after="120" w:line="240" w:lineRule="auto"/>
        <w:ind w:left="720" w:hanging="720"/>
        <w:rPr>
          <w:rFonts w:ascii="Times New Roman" w:hAnsi="Times New Roman" w:cs="Times New Roman"/>
          <w:noProof/>
        </w:rPr>
      </w:pPr>
      <w:r w:rsidRPr="00B829AB">
        <w:rPr>
          <w:rFonts w:ascii="Times New Roman" w:hAnsi="Times New Roman" w:cs="Times New Roman"/>
          <w:noProof/>
        </w:rPr>
        <w:t>Amirul Faiz Osman, Mustafa Omar Muhammad &amp; Aiman Fadzil. (2015). Fact</w:t>
      </w:r>
      <w:r>
        <w:rPr>
          <w:rFonts w:ascii="Times New Roman" w:hAnsi="Times New Roman" w:cs="Times New Roman"/>
          <w:noProof/>
        </w:rPr>
        <w:t xml:space="preserve">or influencing cash waqf giving </w:t>
      </w:r>
      <w:r w:rsidRPr="00B829AB">
        <w:rPr>
          <w:rFonts w:ascii="Times New Roman" w:hAnsi="Times New Roman" w:cs="Times New Roman"/>
          <w:noProof/>
        </w:rPr>
        <w:t>behaviour: A revised theory of planned behaviour. Journal of Global Busin</w:t>
      </w:r>
      <w:r>
        <w:rPr>
          <w:rFonts w:ascii="Times New Roman" w:hAnsi="Times New Roman" w:cs="Times New Roman"/>
          <w:noProof/>
        </w:rPr>
        <w:t xml:space="preserve">ess and Social Entrepreneurship </w:t>
      </w:r>
      <w:r w:rsidRPr="00B829AB">
        <w:rPr>
          <w:rFonts w:ascii="Times New Roman" w:hAnsi="Times New Roman" w:cs="Times New Roman"/>
          <w:noProof/>
        </w:rPr>
        <w:t>(GBSE), 1(1), 33-48.</w:t>
      </w:r>
    </w:p>
    <w:p w:rsidR="0015072D" w:rsidRDefault="0015072D" w:rsidP="000A59C3">
      <w:pPr>
        <w:spacing w:after="120" w:line="240" w:lineRule="auto"/>
        <w:ind w:left="720" w:hanging="720"/>
        <w:rPr>
          <w:rFonts w:ascii="Times New Roman" w:hAnsi="Times New Roman" w:cs="Times New Roman"/>
          <w:i/>
          <w:noProof/>
        </w:rPr>
      </w:pPr>
      <w:r>
        <w:rPr>
          <w:rFonts w:ascii="Times New Roman" w:hAnsi="Times New Roman" w:cs="Times New Roman"/>
          <w:noProof/>
        </w:rPr>
        <w:t xml:space="preserve">Asharaf Mohd Ramli dan Abdullaah Jalil, (2013) </w:t>
      </w:r>
      <w:r w:rsidRPr="0015072D">
        <w:rPr>
          <w:rFonts w:ascii="Times New Roman" w:hAnsi="Times New Roman" w:cs="Times New Roman"/>
          <w:i/>
          <w:noProof/>
        </w:rPr>
        <w:t>Funding Higher Education In Malaysia: Corporate Waqf Model</w:t>
      </w:r>
      <w:r>
        <w:rPr>
          <w:rFonts w:ascii="Times New Roman" w:hAnsi="Times New Roman" w:cs="Times New Roman"/>
          <w:i/>
          <w:noProof/>
        </w:rPr>
        <w:t xml:space="preserve">, </w:t>
      </w:r>
      <w:r w:rsidRPr="0015072D">
        <w:rPr>
          <w:rFonts w:ascii="Times New Roman" w:hAnsi="Times New Roman" w:cs="Times New Roman"/>
          <w:noProof/>
        </w:rPr>
        <w:t>Waqf Workshop: Contemporary Role of Higher Education</w:t>
      </w:r>
      <w:r>
        <w:rPr>
          <w:rFonts w:ascii="Times New Roman" w:hAnsi="Times New Roman" w:cs="Times New Roman"/>
          <w:i/>
          <w:noProof/>
        </w:rPr>
        <w:t>, Alor Star: Al-Bukhari International University.</w:t>
      </w:r>
    </w:p>
    <w:p w:rsidR="001339A1" w:rsidRDefault="001339A1" w:rsidP="00DD53A8">
      <w:pPr>
        <w:widowControl w:val="0"/>
        <w:autoSpaceDE w:val="0"/>
        <w:autoSpaceDN w:val="0"/>
        <w:adjustRightInd w:val="0"/>
        <w:spacing w:line="240" w:lineRule="auto"/>
        <w:ind w:left="480" w:hanging="480"/>
        <w:rPr>
          <w:noProof/>
        </w:rPr>
      </w:pPr>
      <w:r>
        <w:rPr>
          <w:noProof/>
        </w:rPr>
        <w:t>Asharaf Mohd Ramli and Mustafa Omar Mohamed. (2013</w:t>
      </w:r>
      <w:r w:rsidRPr="00ED69FE">
        <w:rPr>
          <w:noProof/>
        </w:rPr>
        <w:t xml:space="preserve">). </w:t>
      </w:r>
      <w:r>
        <w:rPr>
          <w:noProof/>
        </w:rPr>
        <w:t xml:space="preserve">An Overview of Public Funding for Higher for </w:t>
      </w:r>
      <w:r w:rsidRPr="00ED69FE">
        <w:rPr>
          <w:noProof/>
        </w:rPr>
        <w:t>Higher Education</w:t>
      </w:r>
      <w:r w:rsidR="00DD53A8">
        <w:rPr>
          <w:noProof/>
        </w:rPr>
        <w:t xml:space="preserve"> and the Prospect of Waqf Fund</w:t>
      </w:r>
      <w:r w:rsidRPr="00ED69FE">
        <w:rPr>
          <w:noProof/>
        </w:rPr>
        <w:t xml:space="preserve">. In </w:t>
      </w:r>
      <w:r w:rsidR="00DD53A8" w:rsidRPr="00DD53A8">
        <w:rPr>
          <w:i/>
          <w:noProof/>
        </w:rPr>
        <w:t>Towards Sustainable and Inclusive Higher Education: Challenges and Strategies</w:t>
      </w:r>
      <w:r w:rsidR="00DD53A8">
        <w:rPr>
          <w:noProof/>
        </w:rPr>
        <w:t>.</w:t>
      </w:r>
      <w:r>
        <w:rPr>
          <w:noProof/>
        </w:rPr>
        <w:t xml:space="preserve"> USM: Pulau Pinang</w:t>
      </w:r>
      <w:r w:rsidRPr="00ED69FE">
        <w:rPr>
          <w:noProof/>
        </w:rPr>
        <w:t>.</w:t>
      </w:r>
    </w:p>
    <w:p w:rsidR="001339A1" w:rsidRDefault="00DD53A8" w:rsidP="00DD53A8">
      <w:pPr>
        <w:widowControl w:val="0"/>
        <w:autoSpaceDE w:val="0"/>
        <w:autoSpaceDN w:val="0"/>
        <w:adjustRightInd w:val="0"/>
        <w:spacing w:line="240" w:lineRule="auto"/>
        <w:ind w:left="480" w:hanging="480"/>
        <w:rPr>
          <w:noProof/>
        </w:rPr>
      </w:pPr>
      <w:r w:rsidRPr="00DD53A8">
        <w:rPr>
          <w:noProof/>
        </w:rPr>
        <w:t>Abdullaah Jalil and Asharaf Mohd. Ra</w:t>
      </w:r>
      <w:r>
        <w:rPr>
          <w:noProof/>
        </w:rPr>
        <w:t>mli. (2014</w:t>
      </w:r>
      <w:r w:rsidRPr="00DD53A8">
        <w:rPr>
          <w:noProof/>
        </w:rPr>
        <w:t xml:space="preserve">) </w:t>
      </w:r>
      <w:r>
        <w:rPr>
          <w:noProof/>
        </w:rPr>
        <w:t>Model Perbankan Wakaf Korporat: Analisis Wakaf Selangor Muamalat. Jurnal Pengurusan 42: 2014.</w:t>
      </w:r>
    </w:p>
    <w:p w:rsidR="002E09E1" w:rsidRDefault="002E09E1" w:rsidP="00DD53A8">
      <w:pPr>
        <w:widowControl w:val="0"/>
        <w:autoSpaceDE w:val="0"/>
        <w:autoSpaceDN w:val="0"/>
        <w:adjustRightInd w:val="0"/>
        <w:spacing w:line="240" w:lineRule="auto"/>
        <w:ind w:left="480" w:hanging="480"/>
        <w:rPr>
          <w:noProof/>
        </w:rPr>
      </w:pPr>
      <w:r>
        <w:rPr>
          <w:noProof/>
        </w:rPr>
        <w:t>AWQAF Holdings. (2017) Memorandum AWQAF dan Ciri-ciri Waqaf Korporat, awqaf.com.my. diakses pada 2 Ogos 2017</w:t>
      </w:r>
      <w:r w:rsidRPr="002E09E1">
        <w:rPr>
          <w:noProof/>
        </w:rPr>
        <w:t>.</w:t>
      </w:r>
    </w:p>
    <w:p w:rsidR="000D4E71" w:rsidRPr="00DD53A8" w:rsidRDefault="000D4E71" w:rsidP="00DD53A8">
      <w:pPr>
        <w:widowControl w:val="0"/>
        <w:autoSpaceDE w:val="0"/>
        <w:autoSpaceDN w:val="0"/>
        <w:adjustRightInd w:val="0"/>
        <w:spacing w:line="240" w:lineRule="auto"/>
        <w:ind w:left="480" w:hanging="480"/>
        <w:rPr>
          <w:noProof/>
        </w:rPr>
      </w:pPr>
      <w:r w:rsidRPr="000D4E71">
        <w:rPr>
          <w:noProof/>
        </w:rPr>
        <w:t>Borham AS. (2011) Pelaksanaan Pembangunan Wakaf Korporat Johor Corporation Berhad (Jcorp): Satu Tinjauan. International Conference on Humanities 2011. Park Royal Hotel, Penang, Malaysia: USM.</w:t>
      </w:r>
    </w:p>
    <w:p w:rsidR="000A59C3" w:rsidRPr="00AB0B29" w:rsidRDefault="000A59C3" w:rsidP="000A59C3">
      <w:pPr>
        <w:spacing w:after="120" w:line="240" w:lineRule="auto"/>
        <w:ind w:left="720" w:hanging="720"/>
        <w:rPr>
          <w:rFonts w:ascii="Times New Roman" w:hAnsi="Times New Roman" w:cs="Times New Roman"/>
          <w:noProof/>
        </w:rPr>
      </w:pPr>
      <w:bookmarkStart w:id="14" w:name="_ENREF_2"/>
      <w:r w:rsidRPr="00AB0B29">
        <w:rPr>
          <w:rFonts w:ascii="Times New Roman" w:hAnsi="Times New Roman" w:cs="Times New Roman"/>
          <w:noProof/>
        </w:rPr>
        <w:t xml:space="preserve">al-Zuhayli W. (1997) </w:t>
      </w:r>
      <w:r w:rsidRPr="00AB0B29">
        <w:rPr>
          <w:rFonts w:ascii="Times New Roman" w:hAnsi="Times New Roman" w:cs="Times New Roman"/>
          <w:i/>
          <w:noProof/>
        </w:rPr>
        <w:t xml:space="preserve">al-Fiqh al-Islamiyy wa adillatuh, </w:t>
      </w:r>
      <w:r w:rsidRPr="00AB0B29">
        <w:rPr>
          <w:rFonts w:ascii="Times New Roman" w:hAnsi="Times New Roman" w:cs="Times New Roman"/>
          <w:noProof/>
        </w:rPr>
        <w:t>Dimashq: Dar al-Fikr.</w:t>
      </w:r>
      <w:bookmarkEnd w:id="14"/>
    </w:p>
    <w:p w:rsidR="000A59C3" w:rsidRPr="00AB0B29" w:rsidRDefault="000A59C3" w:rsidP="000A59C3">
      <w:pPr>
        <w:spacing w:after="120" w:line="240" w:lineRule="auto"/>
        <w:ind w:left="720" w:hanging="720"/>
        <w:rPr>
          <w:rFonts w:ascii="Times New Roman" w:hAnsi="Times New Roman" w:cs="Times New Roman"/>
          <w:noProof/>
        </w:rPr>
      </w:pPr>
      <w:bookmarkStart w:id="15" w:name="_ENREF_3"/>
      <w:r w:rsidRPr="00AB0B29">
        <w:rPr>
          <w:rFonts w:ascii="Times New Roman" w:hAnsi="Times New Roman" w:cs="Times New Roman"/>
          <w:noProof/>
        </w:rPr>
        <w:t xml:space="preserve">Borham AS. (2011) Pelaksanaan Pembangunan Wakaf Korporat Johor Corporation Berhad (Jcorp): Satu Tinjauan. </w:t>
      </w:r>
      <w:r w:rsidRPr="00AB0B29">
        <w:rPr>
          <w:rFonts w:ascii="Times New Roman" w:hAnsi="Times New Roman" w:cs="Times New Roman"/>
          <w:i/>
          <w:noProof/>
        </w:rPr>
        <w:t>International Conference on Humanities 2011.</w:t>
      </w:r>
      <w:r w:rsidRPr="00AB0B29">
        <w:rPr>
          <w:rFonts w:ascii="Times New Roman" w:hAnsi="Times New Roman" w:cs="Times New Roman"/>
          <w:noProof/>
        </w:rPr>
        <w:t xml:space="preserve"> Park Royal Hotel, Penang, Malaysia: USM.</w:t>
      </w:r>
      <w:bookmarkEnd w:id="15"/>
    </w:p>
    <w:p w:rsidR="000A59C3" w:rsidRPr="00AB0B29" w:rsidRDefault="000A59C3" w:rsidP="000A59C3">
      <w:pPr>
        <w:spacing w:after="120" w:line="240" w:lineRule="auto"/>
        <w:ind w:left="720" w:hanging="720"/>
        <w:rPr>
          <w:rFonts w:ascii="Times New Roman" w:hAnsi="Times New Roman" w:cs="Times New Roman"/>
          <w:noProof/>
        </w:rPr>
      </w:pPr>
      <w:bookmarkStart w:id="16" w:name="_ENREF_4"/>
      <w:r w:rsidRPr="00AB0B29">
        <w:rPr>
          <w:rFonts w:ascii="Times New Roman" w:hAnsi="Times New Roman" w:cs="Times New Roman"/>
          <w:noProof/>
        </w:rPr>
        <w:t xml:space="preserve">Cizakca M. (2011a) </w:t>
      </w:r>
      <w:r w:rsidRPr="00AB0B29">
        <w:rPr>
          <w:rFonts w:ascii="Times New Roman" w:hAnsi="Times New Roman" w:cs="Times New Roman"/>
          <w:i/>
          <w:noProof/>
        </w:rPr>
        <w:t xml:space="preserve">Islamic capitalism and finance: Origins, evolution and the future, </w:t>
      </w:r>
      <w:r w:rsidRPr="00AB0B29">
        <w:rPr>
          <w:rFonts w:ascii="Times New Roman" w:hAnsi="Times New Roman" w:cs="Times New Roman"/>
          <w:noProof/>
        </w:rPr>
        <w:t>Glos: Edward Elgar.</w:t>
      </w:r>
      <w:bookmarkEnd w:id="16"/>
    </w:p>
    <w:p w:rsidR="000A59C3" w:rsidRPr="00AB0B29" w:rsidRDefault="000A59C3" w:rsidP="000A59C3">
      <w:pPr>
        <w:spacing w:after="120" w:line="240" w:lineRule="auto"/>
        <w:ind w:left="720" w:hanging="720"/>
        <w:rPr>
          <w:rFonts w:ascii="Times New Roman" w:hAnsi="Times New Roman" w:cs="Times New Roman"/>
          <w:noProof/>
        </w:rPr>
      </w:pPr>
      <w:bookmarkStart w:id="17" w:name="_ENREF_5"/>
      <w:r w:rsidRPr="00AB0B29">
        <w:rPr>
          <w:rFonts w:ascii="Times New Roman" w:hAnsi="Times New Roman" w:cs="Times New Roman"/>
          <w:noProof/>
        </w:rPr>
        <w:t xml:space="preserve">Cizakca M. (2011b) Waqf in history and its implications for modern Islamic economies. In: Kahf M and Mahamood SM (eds) </w:t>
      </w:r>
      <w:r w:rsidRPr="00AB0B29">
        <w:rPr>
          <w:rFonts w:ascii="Times New Roman" w:hAnsi="Times New Roman" w:cs="Times New Roman"/>
          <w:i/>
          <w:noProof/>
        </w:rPr>
        <w:t>Essential Readings in Contemporary Waqf Issues.</w:t>
      </w:r>
      <w:r w:rsidRPr="00AB0B29">
        <w:rPr>
          <w:rFonts w:ascii="Times New Roman" w:hAnsi="Times New Roman" w:cs="Times New Roman"/>
          <w:noProof/>
        </w:rPr>
        <w:t xml:space="preserve"> Kuala Lumpur: CERT, 1-42.</w:t>
      </w:r>
      <w:bookmarkEnd w:id="17"/>
    </w:p>
    <w:p w:rsidR="000A59C3" w:rsidRPr="00AB0B29" w:rsidRDefault="000A59C3" w:rsidP="000A59C3">
      <w:pPr>
        <w:spacing w:after="120" w:line="240" w:lineRule="auto"/>
        <w:ind w:left="720" w:hanging="720"/>
        <w:rPr>
          <w:rFonts w:ascii="Times New Roman" w:hAnsi="Times New Roman" w:cs="Times New Roman"/>
          <w:noProof/>
        </w:rPr>
      </w:pPr>
      <w:bookmarkStart w:id="18" w:name="_ENREF_6"/>
      <w:r w:rsidRPr="00AB0B29">
        <w:rPr>
          <w:rFonts w:ascii="Times New Roman" w:hAnsi="Times New Roman" w:cs="Times New Roman"/>
          <w:noProof/>
        </w:rPr>
        <w:t xml:space="preserve">Hajah Mustafa Mohd. Hanefah, Abdullaah Jalil, Asharaf Mohd. Ramli, et al. (2010) Waqf Models in Iskandar Malaysia: An Analysis. </w:t>
      </w:r>
      <w:r w:rsidRPr="00AB0B29">
        <w:rPr>
          <w:rFonts w:ascii="Times New Roman" w:hAnsi="Times New Roman" w:cs="Times New Roman"/>
          <w:i/>
          <w:noProof/>
        </w:rPr>
        <w:t>4th Islamic Banking, Accounting and Finance Seminar.</w:t>
      </w:r>
      <w:r w:rsidRPr="00AB0B29">
        <w:rPr>
          <w:rFonts w:ascii="Times New Roman" w:hAnsi="Times New Roman" w:cs="Times New Roman"/>
          <w:noProof/>
        </w:rPr>
        <w:t xml:space="preserve"> Gombak: International Islamic University Malaysia.</w:t>
      </w:r>
      <w:bookmarkEnd w:id="18"/>
    </w:p>
    <w:p w:rsidR="000A59C3" w:rsidRDefault="000A59C3" w:rsidP="000A59C3">
      <w:pPr>
        <w:spacing w:after="120" w:line="240" w:lineRule="auto"/>
        <w:ind w:left="720" w:hanging="720"/>
        <w:rPr>
          <w:rFonts w:ascii="Times New Roman" w:hAnsi="Times New Roman" w:cs="Times New Roman"/>
          <w:noProof/>
        </w:rPr>
      </w:pPr>
      <w:bookmarkStart w:id="19" w:name="_ENREF_7"/>
      <w:r w:rsidRPr="00AB0B29">
        <w:rPr>
          <w:rFonts w:ascii="Times New Roman" w:hAnsi="Times New Roman" w:cs="Times New Roman"/>
          <w:noProof/>
        </w:rPr>
        <w:lastRenderedPageBreak/>
        <w:t xml:space="preserve">Hajah Mustafa Mohd. Hanefah, Asharaf Mohd. Ramli, Abdullaah Jalil, et al. (2009) Financing the Development of Waqf Property: The Experience of Malaysia and Singapore. </w:t>
      </w:r>
      <w:r w:rsidRPr="00AB0B29">
        <w:rPr>
          <w:rFonts w:ascii="Times New Roman" w:hAnsi="Times New Roman" w:cs="Times New Roman"/>
          <w:i/>
          <w:noProof/>
        </w:rPr>
        <w:t>International Conference on Waqf Laws &amp; Management.</w:t>
      </w:r>
      <w:r w:rsidRPr="00AB0B29">
        <w:rPr>
          <w:rFonts w:ascii="Times New Roman" w:hAnsi="Times New Roman" w:cs="Times New Roman"/>
          <w:noProof/>
        </w:rPr>
        <w:t xml:space="preserve"> Gombak: International Islamic University Malaysia.</w:t>
      </w:r>
      <w:bookmarkEnd w:id="19"/>
    </w:p>
    <w:p w:rsidR="001354D4" w:rsidRDefault="001354D4" w:rsidP="000A59C3">
      <w:pPr>
        <w:spacing w:after="120" w:line="240" w:lineRule="auto"/>
        <w:ind w:left="720" w:hanging="720"/>
        <w:rPr>
          <w:rFonts w:ascii="Times New Roman" w:hAnsi="Times New Roman" w:cs="Times New Roman"/>
          <w:noProof/>
        </w:rPr>
      </w:pPr>
      <w:bookmarkStart w:id="20" w:name="_Hlk489565807"/>
      <w:r>
        <w:rPr>
          <w:rFonts w:ascii="Times New Roman" w:hAnsi="Times New Roman" w:cs="Times New Roman"/>
          <w:noProof/>
        </w:rPr>
        <w:t xml:space="preserve">Hamdard Foundation. (2013) </w:t>
      </w:r>
      <w:r w:rsidRPr="001354D4">
        <w:rPr>
          <w:rFonts w:ascii="Times New Roman" w:hAnsi="Times New Roman" w:cs="Times New Roman"/>
          <w:i/>
          <w:noProof/>
        </w:rPr>
        <w:t>History</w:t>
      </w:r>
      <w:r>
        <w:rPr>
          <w:rFonts w:ascii="Times New Roman" w:hAnsi="Times New Roman" w:cs="Times New Roman"/>
          <w:noProof/>
        </w:rPr>
        <w:t xml:space="preserve">, </w:t>
      </w:r>
      <w:hyperlink r:id="rId15" w:history="1">
        <w:r w:rsidR="00BB10FA">
          <w:rPr>
            <w:rStyle w:val="Hyperlink"/>
          </w:rPr>
          <w:t>http://www.hamdardfoundation.org</w:t>
        </w:r>
      </w:hyperlink>
      <w:r w:rsidR="00BB10FA">
        <w:t>. accessed on 20 April 2013.</w:t>
      </w:r>
    </w:p>
    <w:bookmarkEnd w:id="20"/>
    <w:p w:rsidR="0015072D" w:rsidRPr="00AB0B29" w:rsidRDefault="0015072D" w:rsidP="000A59C3">
      <w:pPr>
        <w:spacing w:after="120" w:line="240" w:lineRule="auto"/>
        <w:ind w:left="720" w:hanging="720"/>
        <w:rPr>
          <w:rFonts w:ascii="Times New Roman" w:hAnsi="Times New Roman" w:cs="Times New Roman"/>
          <w:noProof/>
        </w:rPr>
      </w:pPr>
      <w:r>
        <w:rPr>
          <w:rFonts w:ascii="Times New Roman" w:hAnsi="Times New Roman" w:cs="Times New Roman"/>
          <w:noProof/>
        </w:rPr>
        <w:t xml:space="preserve">Jabatan Wakaf, Zakat dan Haji (JAWHAR). (2009) </w:t>
      </w:r>
      <w:r w:rsidRPr="00620AB5">
        <w:rPr>
          <w:rFonts w:ascii="Times New Roman" w:hAnsi="Times New Roman" w:cs="Times New Roman"/>
          <w:i/>
          <w:noProof/>
        </w:rPr>
        <w:t>Ujana Wakaf</w:t>
      </w:r>
      <w:r>
        <w:rPr>
          <w:rFonts w:ascii="Times New Roman" w:hAnsi="Times New Roman" w:cs="Times New Roman"/>
          <w:noProof/>
        </w:rPr>
        <w:t>, 1/2009. Kuala Lumpur</w:t>
      </w:r>
    </w:p>
    <w:p w:rsidR="0015072D" w:rsidRDefault="0015072D" w:rsidP="00C3533F">
      <w:pPr>
        <w:autoSpaceDE w:val="0"/>
        <w:autoSpaceDN w:val="0"/>
        <w:adjustRightInd w:val="0"/>
        <w:spacing w:after="0" w:line="240" w:lineRule="auto"/>
        <w:ind w:left="720" w:hanging="720"/>
        <w:jc w:val="left"/>
      </w:pPr>
      <w:bookmarkStart w:id="21" w:name="_ENREF_8"/>
      <w:r w:rsidRPr="0015072D">
        <w:t xml:space="preserve">Johor Corporation. (2006) </w:t>
      </w:r>
      <w:r w:rsidRPr="0015072D">
        <w:rPr>
          <w:i/>
        </w:rPr>
        <w:t>Waqaf Korporat Untuk Jihad Bisnes</w:t>
      </w:r>
      <w:r w:rsidRPr="0015072D">
        <w:t xml:space="preserve">, Johor Bahru: JCorp </w:t>
      </w:r>
    </w:p>
    <w:p w:rsidR="000D4E71" w:rsidRDefault="000D4E71" w:rsidP="00C3533F">
      <w:pPr>
        <w:autoSpaceDE w:val="0"/>
        <w:autoSpaceDN w:val="0"/>
        <w:adjustRightInd w:val="0"/>
        <w:spacing w:after="0" w:line="240" w:lineRule="auto"/>
        <w:ind w:left="720" w:hanging="720"/>
        <w:jc w:val="left"/>
      </w:pPr>
    </w:p>
    <w:p w:rsidR="000D4E71" w:rsidRDefault="000D4E71" w:rsidP="000D4E71">
      <w:pPr>
        <w:autoSpaceDE w:val="0"/>
        <w:autoSpaceDN w:val="0"/>
        <w:adjustRightInd w:val="0"/>
        <w:spacing w:after="0" w:line="240" w:lineRule="auto"/>
        <w:ind w:left="720" w:hanging="720"/>
        <w:jc w:val="left"/>
      </w:pPr>
      <w:r>
        <w:t>Johor Corporation. (2008) Johor Corporation: Corporate Waqf Concept (Konsep Waqaf Korporat), Johor Bahru: Johor Corporation &amp; Kumpulan Waqaf An-Nur Berhad.</w:t>
      </w:r>
    </w:p>
    <w:p w:rsidR="000D4E71" w:rsidRDefault="000D4E71" w:rsidP="000D4E71">
      <w:pPr>
        <w:autoSpaceDE w:val="0"/>
        <w:autoSpaceDN w:val="0"/>
        <w:adjustRightInd w:val="0"/>
        <w:spacing w:after="0" w:line="240" w:lineRule="auto"/>
        <w:ind w:left="720" w:hanging="720"/>
        <w:jc w:val="left"/>
      </w:pPr>
    </w:p>
    <w:p w:rsidR="000D4E71" w:rsidRDefault="000D4E71" w:rsidP="000D4E71">
      <w:pPr>
        <w:autoSpaceDE w:val="0"/>
        <w:autoSpaceDN w:val="0"/>
        <w:adjustRightInd w:val="0"/>
        <w:spacing w:after="0" w:line="240" w:lineRule="auto"/>
        <w:ind w:left="720" w:hanging="720"/>
        <w:jc w:val="left"/>
      </w:pPr>
      <w:r>
        <w:t>KWANB. (2007) Laporan Tahunan / Annual Report, Johor Bahru: Kumpulan Waqaf An-Nur Berhad (KWANB).</w:t>
      </w:r>
    </w:p>
    <w:p w:rsidR="00C3533F" w:rsidRPr="00C3533F" w:rsidRDefault="00C3533F" w:rsidP="00C3533F">
      <w:pPr>
        <w:autoSpaceDE w:val="0"/>
        <w:autoSpaceDN w:val="0"/>
        <w:adjustRightInd w:val="0"/>
        <w:spacing w:after="0" w:line="240" w:lineRule="auto"/>
        <w:ind w:left="720" w:hanging="720"/>
        <w:jc w:val="left"/>
      </w:pPr>
    </w:p>
    <w:p w:rsidR="00766141" w:rsidRPr="00766141" w:rsidRDefault="00766141" w:rsidP="00766141">
      <w:pPr>
        <w:spacing w:after="120" w:line="240" w:lineRule="auto"/>
        <w:ind w:left="720" w:hanging="720"/>
        <w:rPr>
          <w:rFonts w:ascii="Times New Roman" w:hAnsi="Times New Roman" w:cs="Times New Roman"/>
          <w:i/>
          <w:noProof/>
          <w:szCs w:val="24"/>
        </w:rPr>
      </w:pPr>
      <w:r w:rsidRPr="00766141">
        <w:rPr>
          <w:rFonts w:ascii="Times New Roman" w:hAnsi="Times New Roman" w:cs="Times New Roman"/>
          <w:noProof/>
        </w:rPr>
        <w:t xml:space="preserve">Magda Ismail Abdel Mohsin. (2013) </w:t>
      </w:r>
      <w:r w:rsidRPr="00766141">
        <w:rPr>
          <w:bCs/>
          <w:i/>
          <w:szCs w:val="24"/>
        </w:rPr>
        <w:t xml:space="preserve">Corporate Waqf And Its Role In The Different Societies, </w:t>
      </w:r>
      <w:r w:rsidRPr="00766141">
        <w:rPr>
          <w:i/>
          <w:iCs/>
          <w:szCs w:val="24"/>
        </w:rPr>
        <w:t>The 2nd InternationalConference on Islamic Economics and Economies of the OIC Countries (ICIE 2013)</w:t>
      </w:r>
      <w:r w:rsidRPr="00766141">
        <w:rPr>
          <w:szCs w:val="24"/>
        </w:rPr>
        <w:t xml:space="preserve"> Kuala Lumpur.</w:t>
      </w:r>
    </w:p>
    <w:p w:rsidR="000A59C3" w:rsidRDefault="000A59C3" w:rsidP="000A59C3">
      <w:pPr>
        <w:spacing w:after="120" w:line="240" w:lineRule="auto"/>
        <w:ind w:left="720" w:hanging="720"/>
        <w:rPr>
          <w:rFonts w:ascii="Times New Roman" w:hAnsi="Times New Roman" w:cs="Times New Roman"/>
          <w:noProof/>
        </w:rPr>
      </w:pPr>
      <w:r w:rsidRPr="00AB0B29">
        <w:rPr>
          <w:rFonts w:ascii="Times New Roman" w:hAnsi="Times New Roman" w:cs="Times New Roman"/>
          <w:noProof/>
        </w:rPr>
        <w:t xml:space="preserve">Magda Ismail Abdel Mohsin. (2009) </w:t>
      </w:r>
      <w:r w:rsidRPr="00AB0B29">
        <w:rPr>
          <w:rFonts w:ascii="Times New Roman" w:hAnsi="Times New Roman" w:cs="Times New Roman"/>
          <w:i/>
          <w:noProof/>
        </w:rPr>
        <w:t xml:space="preserve">Cash Waqf: A New Financial Product, </w:t>
      </w:r>
      <w:r w:rsidRPr="00AB0B29">
        <w:rPr>
          <w:rFonts w:ascii="Times New Roman" w:hAnsi="Times New Roman" w:cs="Times New Roman"/>
          <w:noProof/>
        </w:rPr>
        <w:t>Petaling Jaya: Prentic Hall - Pearson.</w:t>
      </w:r>
      <w:bookmarkEnd w:id="21"/>
    </w:p>
    <w:p w:rsidR="000A59C3" w:rsidRDefault="000A59C3" w:rsidP="000A59C3">
      <w:pPr>
        <w:spacing w:after="120" w:line="240" w:lineRule="auto"/>
        <w:ind w:left="720" w:hanging="720"/>
        <w:rPr>
          <w:rFonts w:ascii="Times New Roman" w:hAnsi="Times New Roman" w:cs="Times New Roman"/>
          <w:noProof/>
        </w:rPr>
      </w:pPr>
      <w:bookmarkStart w:id="22" w:name="_ENREF_9"/>
      <w:r w:rsidRPr="00AB0B29">
        <w:rPr>
          <w:rFonts w:ascii="Times New Roman" w:hAnsi="Times New Roman" w:cs="Times New Roman"/>
          <w:noProof/>
        </w:rPr>
        <w:t xml:space="preserve">Mannan MA. (1999) Cash-waqf Certificate Global Opportunities for Developing the Social Capital Market in 21st-Century Voluntary-sector Banking. </w:t>
      </w:r>
      <w:r w:rsidRPr="00AB0B29">
        <w:rPr>
          <w:rFonts w:ascii="Times New Roman" w:hAnsi="Times New Roman" w:cs="Times New Roman"/>
          <w:i/>
          <w:noProof/>
        </w:rPr>
        <w:t>the Third Harvard University Forum on Islamic Finance: Local Challenges, Global Opportunities.</w:t>
      </w:r>
      <w:r w:rsidRPr="00AB0B29">
        <w:rPr>
          <w:rFonts w:ascii="Times New Roman" w:hAnsi="Times New Roman" w:cs="Times New Roman"/>
          <w:noProof/>
        </w:rPr>
        <w:t xml:space="preserve"> Cambridge, Massachusetts: Center for Middle Eastern Studies, Harvard University, 243-256.</w:t>
      </w:r>
      <w:bookmarkEnd w:id="22"/>
    </w:p>
    <w:p w:rsidR="001354D4" w:rsidRDefault="001354D4" w:rsidP="00C3533F">
      <w:pPr>
        <w:autoSpaceDE w:val="0"/>
        <w:autoSpaceDN w:val="0"/>
        <w:adjustRightInd w:val="0"/>
        <w:spacing w:after="0" w:line="240" w:lineRule="auto"/>
        <w:ind w:left="720" w:hanging="720"/>
        <w:jc w:val="left"/>
        <w:rPr>
          <w:rFonts w:cstheme="minorHAnsi"/>
          <w:szCs w:val="24"/>
        </w:rPr>
      </w:pPr>
      <w:r w:rsidRPr="00EF4180">
        <w:rPr>
          <w:rFonts w:cstheme="minorHAnsi"/>
          <w:szCs w:val="24"/>
        </w:rPr>
        <w:t>Megat Mohd. Ghazali Megat Abd. Rahman dan Asiah Othman</w:t>
      </w:r>
      <w:r w:rsidRPr="00EF4180">
        <w:rPr>
          <w:rFonts w:cstheme="minorHAnsi"/>
          <w:noProof/>
          <w:szCs w:val="24"/>
        </w:rPr>
        <w:t>. (2006)</w:t>
      </w:r>
      <w:r w:rsidRPr="00EF4180">
        <w:rPr>
          <w:rFonts w:cstheme="minorHAnsi"/>
          <w:color w:val="0000FF"/>
          <w:szCs w:val="24"/>
        </w:rPr>
        <w:t xml:space="preserve"> </w:t>
      </w:r>
      <w:r w:rsidRPr="00EF4180">
        <w:rPr>
          <w:rFonts w:cstheme="minorHAnsi"/>
          <w:szCs w:val="24"/>
        </w:rPr>
        <w:t>P</w:t>
      </w:r>
      <w:r w:rsidRPr="00EF4180">
        <w:rPr>
          <w:rFonts w:cstheme="minorHAnsi"/>
          <w:i/>
          <w:szCs w:val="24"/>
        </w:rPr>
        <w:t xml:space="preserve">embangunan Tanah Wakaf: Isu, Prospek dan Strategi, </w:t>
      </w:r>
      <w:r w:rsidRPr="00EF4180">
        <w:rPr>
          <w:rFonts w:cstheme="minorHAnsi"/>
          <w:szCs w:val="24"/>
        </w:rPr>
        <w:t>Konvensyen Baitulmal Kebangsaan, Kuala Lumpur: JAWHAR</w:t>
      </w:r>
      <w:r w:rsidR="00AB7F83">
        <w:rPr>
          <w:rFonts w:cstheme="minorHAnsi"/>
          <w:szCs w:val="24"/>
        </w:rPr>
        <w:t>.</w:t>
      </w:r>
    </w:p>
    <w:p w:rsidR="00AB7F83" w:rsidRDefault="00AB7F83" w:rsidP="00C3533F">
      <w:pPr>
        <w:autoSpaceDE w:val="0"/>
        <w:autoSpaceDN w:val="0"/>
        <w:adjustRightInd w:val="0"/>
        <w:spacing w:after="0" w:line="240" w:lineRule="auto"/>
        <w:ind w:left="720" w:hanging="720"/>
        <w:jc w:val="left"/>
        <w:rPr>
          <w:rFonts w:cstheme="minorHAnsi"/>
          <w:szCs w:val="24"/>
        </w:rPr>
      </w:pPr>
    </w:p>
    <w:p w:rsidR="00C3533F" w:rsidRDefault="00AB7F83" w:rsidP="00AB7F83">
      <w:pPr>
        <w:autoSpaceDE w:val="0"/>
        <w:autoSpaceDN w:val="0"/>
        <w:adjustRightInd w:val="0"/>
        <w:spacing w:after="0" w:line="240" w:lineRule="auto"/>
        <w:ind w:left="720" w:hanging="720"/>
        <w:jc w:val="left"/>
        <w:rPr>
          <w:rFonts w:cstheme="minorHAnsi"/>
          <w:szCs w:val="24"/>
        </w:rPr>
      </w:pPr>
      <w:r w:rsidRPr="00AB7F83">
        <w:rPr>
          <w:rFonts w:cstheme="minorHAnsi"/>
          <w:szCs w:val="24"/>
        </w:rPr>
        <w:t>Mohammad Zulfakhairi Mokthar</w:t>
      </w:r>
      <w:r>
        <w:rPr>
          <w:rFonts w:cstheme="minorHAnsi"/>
          <w:szCs w:val="24"/>
        </w:rPr>
        <w:t xml:space="preserve">. (2016). </w:t>
      </w:r>
      <w:r w:rsidRPr="00AB7F83">
        <w:rPr>
          <w:rFonts w:cstheme="minorHAnsi"/>
          <w:szCs w:val="24"/>
        </w:rPr>
        <w:t>Perceptions of Universiti Sains Malaysia Muslim Sta</w:t>
      </w:r>
      <w:r>
        <w:rPr>
          <w:rFonts w:cstheme="minorHAnsi"/>
          <w:szCs w:val="24"/>
        </w:rPr>
        <w:t xml:space="preserve">ff on Factors Influencing their </w:t>
      </w:r>
      <w:r w:rsidRPr="00AB7F83">
        <w:rPr>
          <w:rFonts w:cstheme="minorHAnsi"/>
          <w:szCs w:val="24"/>
        </w:rPr>
        <w:t>Intention to Perform Cash Waqf</w:t>
      </w:r>
      <w:r>
        <w:rPr>
          <w:rFonts w:cstheme="minorHAnsi"/>
          <w:szCs w:val="24"/>
        </w:rPr>
        <w:t xml:space="preserve">. </w:t>
      </w:r>
      <w:r w:rsidRPr="00AB7F83">
        <w:rPr>
          <w:rFonts w:cstheme="minorHAnsi"/>
          <w:szCs w:val="24"/>
        </w:rPr>
        <w:t>Journal of Islamic Studies and Culture</w:t>
      </w:r>
      <w:r>
        <w:rPr>
          <w:rFonts w:cstheme="minorHAnsi"/>
          <w:szCs w:val="24"/>
        </w:rPr>
        <w:t xml:space="preserve">. </w:t>
      </w:r>
      <w:r w:rsidRPr="00AB7F83">
        <w:rPr>
          <w:rFonts w:cstheme="minorHAnsi"/>
          <w:szCs w:val="24"/>
        </w:rPr>
        <w:t>Vol. 4, No. 2, pp. 101-109</w:t>
      </w:r>
      <w:r>
        <w:rPr>
          <w:rFonts w:cstheme="minorHAnsi"/>
          <w:szCs w:val="24"/>
        </w:rPr>
        <w:t>.</w:t>
      </w:r>
    </w:p>
    <w:p w:rsidR="00AB7F83" w:rsidRPr="001354D4" w:rsidRDefault="00AB7F83" w:rsidP="000D4E71">
      <w:pPr>
        <w:autoSpaceDE w:val="0"/>
        <w:autoSpaceDN w:val="0"/>
        <w:adjustRightInd w:val="0"/>
        <w:spacing w:after="0" w:line="240" w:lineRule="auto"/>
        <w:jc w:val="left"/>
        <w:rPr>
          <w:rFonts w:cstheme="minorHAnsi"/>
          <w:szCs w:val="24"/>
        </w:rPr>
      </w:pPr>
    </w:p>
    <w:p w:rsidR="0015072D" w:rsidRPr="0015072D" w:rsidRDefault="0015072D" w:rsidP="000A59C3">
      <w:pPr>
        <w:spacing w:after="120" w:line="240" w:lineRule="auto"/>
        <w:ind w:left="720" w:hanging="720"/>
        <w:rPr>
          <w:rFonts w:ascii="Times New Roman" w:hAnsi="Times New Roman" w:cs="Times New Roman"/>
          <w:noProof/>
        </w:rPr>
      </w:pPr>
      <w:r w:rsidRPr="0015072D">
        <w:t xml:space="preserve">Muhammad Ali Hashim. (2011) </w:t>
      </w:r>
      <w:r w:rsidRPr="0015072D">
        <w:rPr>
          <w:i/>
        </w:rPr>
        <w:t>Khalifah Ganti Superman</w:t>
      </w:r>
      <w:r w:rsidRPr="0015072D">
        <w:t>, Kuala Lumpur: Utusan Publications and Distributions.</w:t>
      </w:r>
    </w:p>
    <w:p w:rsidR="000A59C3" w:rsidRDefault="000A59C3" w:rsidP="000A59C3">
      <w:pPr>
        <w:spacing w:after="120" w:line="240" w:lineRule="auto"/>
        <w:ind w:left="720" w:hanging="720"/>
        <w:rPr>
          <w:rFonts w:ascii="Times New Roman" w:hAnsi="Times New Roman" w:cs="Times New Roman"/>
          <w:noProof/>
        </w:rPr>
      </w:pPr>
      <w:bookmarkStart w:id="23" w:name="_ENREF_10"/>
      <w:r w:rsidRPr="00AB0B29">
        <w:rPr>
          <w:rFonts w:ascii="Times New Roman" w:hAnsi="Times New Roman" w:cs="Times New Roman"/>
          <w:noProof/>
        </w:rPr>
        <w:t xml:space="preserve">Ramli AH and Sulaiman K. (2006) Pembangunan Harta Wakaf: Pengalaman Negara-Negara Islam. </w:t>
      </w:r>
      <w:r w:rsidRPr="00AB0B29">
        <w:rPr>
          <w:rFonts w:ascii="Times New Roman" w:hAnsi="Times New Roman" w:cs="Times New Roman"/>
          <w:i/>
          <w:noProof/>
        </w:rPr>
        <w:t>Konvensyen Wakaf Kebangsaan.</w:t>
      </w:r>
      <w:r w:rsidRPr="00AB0B29">
        <w:rPr>
          <w:rFonts w:ascii="Times New Roman" w:hAnsi="Times New Roman" w:cs="Times New Roman"/>
          <w:noProof/>
        </w:rPr>
        <w:t xml:space="preserve"> Kuala Lumpur.</w:t>
      </w:r>
      <w:bookmarkEnd w:id="23"/>
    </w:p>
    <w:p w:rsidR="0015072D" w:rsidRPr="00AB0B29" w:rsidRDefault="0015072D" w:rsidP="000A59C3">
      <w:pPr>
        <w:spacing w:after="120" w:line="240" w:lineRule="auto"/>
        <w:ind w:left="720" w:hanging="720"/>
        <w:rPr>
          <w:rFonts w:ascii="Times New Roman" w:hAnsi="Times New Roman" w:cs="Times New Roman"/>
          <w:noProof/>
        </w:rPr>
      </w:pPr>
      <w:r>
        <w:rPr>
          <w:rFonts w:ascii="Times New Roman" w:hAnsi="Times New Roman" w:cs="Times New Roman"/>
          <w:noProof/>
        </w:rPr>
        <w:t xml:space="preserve">Siti Mashitoh Mahamood. (2006) </w:t>
      </w:r>
      <w:r w:rsidR="001354D4">
        <w:rPr>
          <w:rFonts w:ascii="Times New Roman" w:hAnsi="Times New Roman" w:cs="Times New Roman"/>
          <w:noProof/>
        </w:rPr>
        <w:t>Waqf in Malaysia: Legal and Administrative Perspectives, Kuala Lumpur: Universiti Malaya Press.</w:t>
      </w:r>
    </w:p>
    <w:p w:rsidR="00F25F16" w:rsidRDefault="00D452DD" w:rsidP="00766141">
      <w:pPr>
        <w:autoSpaceDE w:val="0"/>
        <w:autoSpaceDN w:val="0"/>
        <w:adjustRightInd w:val="0"/>
        <w:spacing w:after="0" w:line="240" w:lineRule="auto"/>
        <w:ind w:left="720" w:hanging="720"/>
        <w:jc w:val="left"/>
        <w:rPr>
          <w:rFonts w:cstheme="minorHAnsi"/>
          <w:bCs/>
          <w:szCs w:val="24"/>
        </w:rPr>
      </w:pPr>
      <w:r w:rsidRPr="00AB0B29">
        <w:fldChar w:fldCharType="end"/>
      </w:r>
      <w:r w:rsidR="00766141">
        <w:rPr>
          <w:rFonts w:cstheme="minorHAnsi"/>
          <w:bCs/>
          <w:szCs w:val="24"/>
        </w:rPr>
        <w:t xml:space="preserve">Wan Abdul Halim </w:t>
      </w:r>
      <w:r w:rsidR="00766141" w:rsidRPr="00766141">
        <w:rPr>
          <w:rFonts w:cstheme="minorHAnsi"/>
          <w:bCs/>
          <w:szCs w:val="24"/>
        </w:rPr>
        <w:t xml:space="preserve">W Harun. (2012) </w:t>
      </w:r>
      <w:r w:rsidR="00766141" w:rsidRPr="00766141">
        <w:rPr>
          <w:rFonts w:cstheme="minorHAnsi"/>
          <w:bCs/>
          <w:i/>
          <w:szCs w:val="24"/>
        </w:rPr>
        <w:t>Pengurusan Tanah Wakaf Dalam Urusan Harta Pusaka Kecil</w:t>
      </w:r>
      <w:r w:rsidR="00766141" w:rsidRPr="00766141">
        <w:rPr>
          <w:rFonts w:cstheme="minorHAnsi"/>
          <w:bCs/>
          <w:szCs w:val="24"/>
        </w:rPr>
        <w:t>, Seminar Transformasi Peletakhakkan Tanah Wakaf, Jawhar: Kuala Lumpur</w:t>
      </w:r>
      <w:r w:rsidR="00766141">
        <w:rPr>
          <w:rFonts w:cstheme="minorHAnsi"/>
          <w:bCs/>
          <w:szCs w:val="24"/>
        </w:rPr>
        <w:t>.</w:t>
      </w:r>
    </w:p>
    <w:p w:rsidR="008D7F95" w:rsidRDefault="008D7F95" w:rsidP="00766141">
      <w:pPr>
        <w:autoSpaceDE w:val="0"/>
        <w:autoSpaceDN w:val="0"/>
        <w:adjustRightInd w:val="0"/>
        <w:spacing w:after="0" w:line="240" w:lineRule="auto"/>
        <w:ind w:left="720" w:hanging="720"/>
        <w:jc w:val="left"/>
        <w:rPr>
          <w:rFonts w:cstheme="minorHAnsi"/>
          <w:bCs/>
          <w:szCs w:val="24"/>
        </w:rPr>
      </w:pPr>
    </w:p>
    <w:p w:rsidR="000D4E71" w:rsidRDefault="000D4E71" w:rsidP="000D4E71">
      <w:pPr>
        <w:autoSpaceDE w:val="0"/>
        <w:autoSpaceDN w:val="0"/>
        <w:adjustRightInd w:val="0"/>
        <w:spacing w:after="0" w:line="240" w:lineRule="auto"/>
        <w:ind w:left="720" w:hanging="720"/>
        <w:jc w:val="left"/>
        <w:rPr>
          <w:rFonts w:cstheme="minorHAnsi"/>
          <w:szCs w:val="24"/>
        </w:rPr>
      </w:pPr>
      <w:r w:rsidRPr="000D4E71">
        <w:rPr>
          <w:rFonts w:cstheme="minorHAnsi"/>
          <w:szCs w:val="24"/>
        </w:rPr>
        <w:t>WANCorp. (2011) Laporan Tahunan / Annual Report, Johor Bahru: Waqaf An-Nur Corporation Berhad (WANCorp).</w:t>
      </w:r>
    </w:p>
    <w:p w:rsidR="000D4E71" w:rsidRPr="000D4E71" w:rsidRDefault="000D4E71" w:rsidP="000D4E71">
      <w:pPr>
        <w:autoSpaceDE w:val="0"/>
        <w:autoSpaceDN w:val="0"/>
        <w:adjustRightInd w:val="0"/>
        <w:spacing w:after="0" w:line="240" w:lineRule="auto"/>
        <w:ind w:left="720" w:hanging="720"/>
        <w:jc w:val="left"/>
        <w:rPr>
          <w:rFonts w:cstheme="minorHAnsi"/>
          <w:szCs w:val="24"/>
        </w:rPr>
      </w:pPr>
    </w:p>
    <w:p w:rsidR="008D7F95" w:rsidRDefault="000D4E71" w:rsidP="000D4E71">
      <w:pPr>
        <w:autoSpaceDE w:val="0"/>
        <w:autoSpaceDN w:val="0"/>
        <w:adjustRightInd w:val="0"/>
        <w:spacing w:after="0" w:line="240" w:lineRule="auto"/>
        <w:ind w:left="720" w:hanging="720"/>
        <w:jc w:val="left"/>
        <w:rPr>
          <w:rFonts w:cstheme="minorHAnsi"/>
          <w:szCs w:val="24"/>
        </w:rPr>
      </w:pPr>
      <w:r w:rsidRPr="000D4E71">
        <w:rPr>
          <w:rFonts w:cstheme="minorHAnsi"/>
          <w:szCs w:val="24"/>
        </w:rPr>
        <w:lastRenderedPageBreak/>
        <w:t>WASI. (1983) al-Mawsucah al-Fiqhiyyah (First ed.). Kuwayt: Wizarah al-Awqaf wa al-Shu'un al-Islamiyyah (WASI).</w:t>
      </w:r>
    </w:p>
    <w:p w:rsidR="008D7F95" w:rsidRDefault="008D7F95" w:rsidP="00766141">
      <w:pPr>
        <w:autoSpaceDE w:val="0"/>
        <w:autoSpaceDN w:val="0"/>
        <w:adjustRightInd w:val="0"/>
        <w:spacing w:after="0" w:line="240" w:lineRule="auto"/>
        <w:ind w:left="720" w:hanging="720"/>
        <w:jc w:val="left"/>
        <w:rPr>
          <w:color w:val="FF0000"/>
        </w:rPr>
      </w:pPr>
    </w:p>
    <w:p w:rsidR="0015072D" w:rsidRPr="00766141" w:rsidRDefault="0015072D" w:rsidP="00766141">
      <w:pPr>
        <w:autoSpaceDE w:val="0"/>
        <w:autoSpaceDN w:val="0"/>
        <w:adjustRightInd w:val="0"/>
        <w:spacing w:after="0" w:line="240" w:lineRule="auto"/>
        <w:ind w:left="720" w:hanging="720"/>
        <w:jc w:val="left"/>
        <w:rPr>
          <w:rFonts w:cstheme="minorHAnsi"/>
          <w:bCs/>
          <w:szCs w:val="24"/>
        </w:rPr>
      </w:pPr>
    </w:p>
    <w:sectPr w:rsidR="0015072D" w:rsidRPr="00766141" w:rsidSect="006A7328">
      <w:footerReference w:type="defaul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0F3" w:rsidRDefault="00D240F3" w:rsidP="002E64C4">
      <w:r>
        <w:separator/>
      </w:r>
    </w:p>
  </w:endnote>
  <w:endnote w:type="continuationSeparator" w:id="0">
    <w:p w:rsidR="00D240F3" w:rsidRDefault="00D240F3" w:rsidP="002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680781"/>
      <w:docPartObj>
        <w:docPartGallery w:val="Page Numbers (Bottom of Page)"/>
        <w:docPartUnique/>
      </w:docPartObj>
    </w:sdtPr>
    <w:sdtEndPr>
      <w:rPr>
        <w:noProof/>
      </w:rPr>
    </w:sdtEndPr>
    <w:sdtContent>
      <w:p w:rsidR="00906198" w:rsidRDefault="00906198">
        <w:pPr>
          <w:pStyle w:val="Footer"/>
          <w:jc w:val="center"/>
        </w:pPr>
        <w:r>
          <w:fldChar w:fldCharType="begin"/>
        </w:r>
        <w:r>
          <w:instrText xml:space="preserve"> PAGE   \* MERGEFORMAT </w:instrText>
        </w:r>
        <w:r>
          <w:fldChar w:fldCharType="separate"/>
        </w:r>
        <w:r w:rsidR="00517F69">
          <w:rPr>
            <w:noProof/>
          </w:rPr>
          <w:t>1</w:t>
        </w:r>
        <w:r>
          <w:rPr>
            <w:noProof/>
          </w:rPr>
          <w:fldChar w:fldCharType="end"/>
        </w:r>
      </w:p>
    </w:sdtContent>
  </w:sdt>
  <w:p w:rsidR="00906198" w:rsidRDefault="00906198" w:rsidP="002E64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0F3" w:rsidRDefault="00D240F3" w:rsidP="002E64C4">
      <w:r>
        <w:separator/>
      </w:r>
    </w:p>
  </w:footnote>
  <w:footnote w:type="continuationSeparator" w:id="0">
    <w:p w:rsidR="00D240F3" w:rsidRDefault="00D240F3" w:rsidP="002E64C4">
      <w:r>
        <w:continuationSeparator/>
      </w:r>
    </w:p>
  </w:footnote>
  <w:footnote w:id="1">
    <w:p w:rsidR="00F013F7" w:rsidRPr="00F013F7" w:rsidRDefault="00F013F7" w:rsidP="00F013F7">
      <w:pPr>
        <w:pStyle w:val="FootnoteText"/>
        <w:spacing w:line="240" w:lineRule="auto"/>
        <w:rPr>
          <w:lang w:val="en-MY"/>
        </w:rPr>
      </w:pPr>
      <w:r>
        <w:rPr>
          <w:rStyle w:val="FootnoteReference"/>
        </w:rPr>
        <w:footnoteRef/>
      </w:r>
      <w:r>
        <w:t xml:space="preserve"> Kertas ini dibentangkan di Seminar Fila</w:t>
      </w:r>
      <w:r w:rsidR="00517F69">
        <w:t>n</w:t>
      </w:r>
      <w:r>
        <w:t xml:space="preserve">tropi dan Derma-Bakti Islam: Pendekatan Korporat Dalam Konsep Wakaf, anjuran Institut Kefahaman Islam Malaysia (IKIM) dengan kerjasama Bursa Malaysia, Jabatan Wakaf, Zakat dan Haji (JAWHAR) dan Yayasan Wakaf Malaysia (YWM) di </w:t>
      </w:r>
      <w:r w:rsidR="00517F69">
        <w:t>Dewan Besar IKIM pada 7 Ogos 201</w:t>
      </w:r>
      <w:bookmarkStart w:id="0" w:name="_GoBack"/>
      <w:bookmarkEnd w:id="0"/>
      <w:r>
        <w:t>7.</w:t>
      </w:r>
    </w:p>
  </w:footnote>
  <w:footnote w:id="2">
    <w:p w:rsidR="00906198" w:rsidRPr="00A5757D" w:rsidRDefault="00906198" w:rsidP="00F013F7">
      <w:pPr>
        <w:pStyle w:val="FootnoteText"/>
        <w:spacing w:line="240" w:lineRule="auto"/>
      </w:pPr>
      <w:r w:rsidRPr="00A5757D">
        <w:rPr>
          <w:rStyle w:val="FootnoteReference"/>
        </w:rPr>
        <w:footnoteRef/>
      </w:r>
      <w:r w:rsidRPr="00A5757D">
        <w:t xml:space="preserve"> </w:t>
      </w:r>
      <w:r w:rsidRPr="00A5757D">
        <w:t xml:space="preserve">Penulis Koresponden: </w:t>
      </w:r>
      <w:r w:rsidR="00F013F7">
        <w:t xml:space="preserve">Pensyarah, </w:t>
      </w:r>
      <w:r w:rsidRPr="00A5757D">
        <w:t>Fakulti Ekonomi dan Muamalat, Universiti Sains Islam Malaysia (USIM), Ema</w:t>
      </w:r>
      <w:r>
        <w:t>i</w:t>
      </w:r>
      <w:r w:rsidRPr="00A5757D">
        <w:t xml:space="preserve">l: </w:t>
      </w:r>
      <w:hyperlink r:id="rId1" w:history="1">
        <w:r w:rsidRPr="00A5757D">
          <w:rPr>
            <w:rStyle w:val="Hyperlink"/>
          </w:rPr>
          <w:t>asharaf@usim.edu.my</w:t>
        </w:r>
      </w:hyperlink>
      <w:r w:rsidRPr="00A5757D">
        <w:t>, Tel: 06 7986374 , 013 3573994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3AE"/>
    <w:multiLevelType w:val="multilevel"/>
    <w:tmpl w:val="C608C806"/>
    <w:lvl w:ilvl="0">
      <w:start w:val="1"/>
      <w:numFmt w:val="decimal"/>
      <w:lvlText w:val="%1."/>
      <w:lvlJc w:val="left"/>
      <w:pPr>
        <w:ind w:left="720" w:hanging="360"/>
      </w:p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92137F2"/>
    <w:multiLevelType w:val="multilevel"/>
    <w:tmpl w:val="C608C806"/>
    <w:lvl w:ilvl="0">
      <w:start w:val="1"/>
      <w:numFmt w:val="decimal"/>
      <w:lvlText w:val="%1."/>
      <w:lvlJc w:val="left"/>
      <w:pPr>
        <w:ind w:left="720" w:hanging="360"/>
      </w:p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1614912"/>
    <w:multiLevelType w:val="hybridMultilevel"/>
    <w:tmpl w:val="E8385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F019A"/>
    <w:multiLevelType w:val="hybridMultilevel"/>
    <w:tmpl w:val="1C54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BF50EF"/>
    <w:multiLevelType w:val="hybridMultilevel"/>
    <w:tmpl w:val="44280C86"/>
    <w:lvl w:ilvl="0" w:tplc="44090001">
      <w:start w:val="1"/>
      <w:numFmt w:val="bullet"/>
      <w:lvlText w:val=""/>
      <w:lvlJc w:val="left"/>
      <w:pPr>
        <w:ind w:left="1320" w:hanging="360"/>
      </w:pPr>
      <w:rPr>
        <w:rFonts w:ascii="Symbol" w:hAnsi="Symbol" w:hint="default"/>
      </w:rPr>
    </w:lvl>
    <w:lvl w:ilvl="1" w:tplc="44090003" w:tentative="1">
      <w:start w:val="1"/>
      <w:numFmt w:val="bullet"/>
      <w:lvlText w:val="o"/>
      <w:lvlJc w:val="left"/>
      <w:pPr>
        <w:ind w:left="2040" w:hanging="360"/>
      </w:pPr>
      <w:rPr>
        <w:rFonts w:ascii="Courier New" w:hAnsi="Courier New" w:cs="Courier New" w:hint="default"/>
      </w:rPr>
    </w:lvl>
    <w:lvl w:ilvl="2" w:tplc="44090005" w:tentative="1">
      <w:start w:val="1"/>
      <w:numFmt w:val="bullet"/>
      <w:lvlText w:val=""/>
      <w:lvlJc w:val="left"/>
      <w:pPr>
        <w:ind w:left="2760" w:hanging="360"/>
      </w:pPr>
      <w:rPr>
        <w:rFonts w:ascii="Wingdings" w:hAnsi="Wingdings" w:hint="default"/>
      </w:rPr>
    </w:lvl>
    <w:lvl w:ilvl="3" w:tplc="44090001" w:tentative="1">
      <w:start w:val="1"/>
      <w:numFmt w:val="bullet"/>
      <w:lvlText w:val=""/>
      <w:lvlJc w:val="left"/>
      <w:pPr>
        <w:ind w:left="3480" w:hanging="360"/>
      </w:pPr>
      <w:rPr>
        <w:rFonts w:ascii="Symbol" w:hAnsi="Symbol" w:hint="default"/>
      </w:rPr>
    </w:lvl>
    <w:lvl w:ilvl="4" w:tplc="44090003" w:tentative="1">
      <w:start w:val="1"/>
      <w:numFmt w:val="bullet"/>
      <w:lvlText w:val="o"/>
      <w:lvlJc w:val="left"/>
      <w:pPr>
        <w:ind w:left="4200" w:hanging="360"/>
      </w:pPr>
      <w:rPr>
        <w:rFonts w:ascii="Courier New" w:hAnsi="Courier New" w:cs="Courier New" w:hint="default"/>
      </w:rPr>
    </w:lvl>
    <w:lvl w:ilvl="5" w:tplc="44090005" w:tentative="1">
      <w:start w:val="1"/>
      <w:numFmt w:val="bullet"/>
      <w:lvlText w:val=""/>
      <w:lvlJc w:val="left"/>
      <w:pPr>
        <w:ind w:left="4920" w:hanging="360"/>
      </w:pPr>
      <w:rPr>
        <w:rFonts w:ascii="Wingdings" w:hAnsi="Wingdings" w:hint="default"/>
      </w:rPr>
    </w:lvl>
    <w:lvl w:ilvl="6" w:tplc="44090001" w:tentative="1">
      <w:start w:val="1"/>
      <w:numFmt w:val="bullet"/>
      <w:lvlText w:val=""/>
      <w:lvlJc w:val="left"/>
      <w:pPr>
        <w:ind w:left="5640" w:hanging="360"/>
      </w:pPr>
      <w:rPr>
        <w:rFonts w:ascii="Symbol" w:hAnsi="Symbol" w:hint="default"/>
      </w:rPr>
    </w:lvl>
    <w:lvl w:ilvl="7" w:tplc="44090003" w:tentative="1">
      <w:start w:val="1"/>
      <w:numFmt w:val="bullet"/>
      <w:lvlText w:val="o"/>
      <w:lvlJc w:val="left"/>
      <w:pPr>
        <w:ind w:left="6360" w:hanging="360"/>
      </w:pPr>
      <w:rPr>
        <w:rFonts w:ascii="Courier New" w:hAnsi="Courier New" w:cs="Courier New" w:hint="default"/>
      </w:rPr>
    </w:lvl>
    <w:lvl w:ilvl="8" w:tplc="44090005" w:tentative="1">
      <w:start w:val="1"/>
      <w:numFmt w:val="bullet"/>
      <w:lvlText w:val=""/>
      <w:lvlJc w:val="left"/>
      <w:pPr>
        <w:ind w:left="7080" w:hanging="360"/>
      </w:pPr>
      <w:rPr>
        <w:rFonts w:ascii="Wingdings" w:hAnsi="Wingdings" w:hint="default"/>
      </w:rPr>
    </w:lvl>
  </w:abstractNum>
  <w:abstractNum w:abstractNumId="5">
    <w:nsid w:val="348753AE"/>
    <w:multiLevelType w:val="multilevel"/>
    <w:tmpl w:val="C608C806"/>
    <w:lvl w:ilvl="0">
      <w:start w:val="1"/>
      <w:numFmt w:val="decimal"/>
      <w:lvlText w:val="%1."/>
      <w:lvlJc w:val="left"/>
      <w:pPr>
        <w:ind w:left="720" w:hanging="360"/>
      </w:p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96B01B5"/>
    <w:multiLevelType w:val="hybridMultilevel"/>
    <w:tmpl w:val="5CA464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0304001"/>
    <w:multiLevelType w:val="multilevel"/>
    <w:tmpl w:val="506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AB180E"/>
    <w:multiLevelType w:val="hybridMultilevel"/>
    <w:tmpl w:val="2A48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A66B3E"/>
    <w:multiLevelType w:val="hybridMultilevel"/>
    <w:tmpl w:val="123CCB3C"/>
    <w:lvl w:ilvl="0" w:tplc="8E9ED7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FE1C6B"/>
    <w:multiLevelType w:val="hybridMultilevel"/>
    <w:tmpl w:val="F468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D77730"/>
    <w:multiLevelType w:val="multilevel"/>
    <w:tmpl w:val="9EC8E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480442"/>
    <w:multiLevelType w:val="hybridMultilevel"/>
    <w:tmpl w:val="18803E2C"/>
    <w:lvl w:ilvl="0" w:tplc="44090001">
      <w:start w:val="1"/>
      <w:numFmt w:val="bullet"/>
      <w:lvlText w:val=""/>
      <w:lvlJc w:val="left"/>
      <w:pPr>
        <w:ind w:left="1320" w:hanging="360"/>
      </w:pPr>
      <w:rPr>
        <w:rFonts w:ascii="Symbol" w:hAnsi="Symbol" w:hint="default"/>
      </w:rPr>
    </w:lvl>
    <w:lvl w:ilvl="1" w:tplc="44090003" w:tentative="1">
      <w:start w:val="1"/>
      <w:numFmt w:val="bullet"/>
      <w:lvlText w:val="o"/>
      <w:lvlJc w:val="left"/>
      <w:pPr>
        <w:ind w:left="2040" w:hanging="360"/>
      </w:pPr>
      <w:rPr>
        <w:rFonts w:ascii="Courier New" w:hAnsi="Courier New" w:cs="Courier New" w:hint="default"/>
      </w:rPr>
    </w:lvl>
    <w:lvl w:ilvl="2" w:tplc="44090005" w:tentative="1">
      <w:start w:val="1"/>
      <w:numFmt w:val="bullet"/>
      <w:lvlText w:val=""/>
      <w:lvlJc w:val="left"/>
      <w:pPr>
        <w:ind w:left="2760" w:hanging="360"/>
      </w:pPr>
      <w:rPr>
        <w:rFonts w:ascii="Wingdings" w:hAnsi="Wingdings" w:hint="default"/>
      </w:rPr>
    </w:lvl>
    <w:lvl w:ilvl="3" w:tplc="44090001" w:tentative="1">
      <w:start w:val="1"/>
      <w:numFmt w:val="bullet"/>
      <w:lvlText w:val=""/>
      <w:lvlJc w:val="left"/>
      <w:pPr>
        <w:ind w:left="3480" w:hanging="360"/>
      </w:pPr>
      <w:rPr>
        <w:rFonts w:ascii="Symbol" w:hAnsi="Symbol" w:hint="default"/>
      </w:rPr>
    </w:lvl>
    <w:lvl w:ilvl="4" w:tplc="44090003" w:tentative="1">
      <w:start w:val="1"/>
      <w:numFmt w:val="bullet"/>
      <w:lvlText w:val="o"/>
      <w:lvlJc w:val="left"/>
      <w:pPr>
        <w:ind w:left="4200" w:hanging="360"/>
      </w:pPr>
      <w:rPr>
        <w:rFonts w:ascii="Courier New" w:hAnsi="Courier New" w:cs="Courier New" w:hint="default"/>
      </w:rPr>
    </w:lvl>
    <w:lvl w:ilvl="5" w:tplc="44090005" w:tentative="1">
      <w:start w:val="1"/>
      <w:numFmt w:val="bullet"/>
      <w:lvlText w:val=""/>
      <w:lvlJc w:val="left"/>
      <w:pPr>
        <w:ind w:left="4920" w:hanging="360"/>
      </w:pPr>
      <w:rPr>
        <w:rFonts w:ascii="Wingdings" w:hAnsi="Wingdings" w:hint="default"/>
      </w:rPr>
    </w:lvl>
    <w:lvl w:ilvl="6" w:tplc="44090001" w:tentative="1">
      <w:start w:val="1"/>
      <w:numFmt w:val="bullet"/>
      <w:lvlText w:val=""/>
      <w:lvlJc w:val="left"/>
      <w:pPr>
        <w:ind w:left="5640" w:hanging="360"/>
      </w:pPr>
      <w:rPr>
        <w:rFonts w:ascii="Symbol" w:hAnsi="Symbol" w:hint="default"/>
      </w:rPr>
    </w:lvl>
    <w:lvl w:ilvl="7" w:tplc="44090003" w:tentative="1">
      <w:start w:val="1"/>
      <w:numFmt w:val="bullet"/>
      <w:lvlText w:val="o"/>
      <w:lvlJc w:val="left"/>
      <w:pPr>
        <w:ind w:left="6360" w:hanging="360"/>
      </w:pPr>
      <w:rPr>
        <w:rFonts w:ascii="Courier New" w:hAnsi="Courier New" w:cs="Courier New" w:hint="default"/>
      </w:rPr>
    </w:lvl>
    <w:lvl w:ilvl="8" w:tplc="44090005" w:tentative="1">
      <w:start w:val="1"/>
      <w:numFmt w:val="bullet"/>
      <w:lvlText w:val=""/>
      <w:lvlJc w:val="left"/>
      <w:pPr>
        <w:ind w:left="7080" w:hanging="360"/>
      </w:pPr>
      <w:rPr>
        <w:rFonts w:ascii="Wingdings" w:hAnsi="Wingdings" w:hint="default"/>
      </w:rPr>
    </w:lvl>
  </w:abstractNum>
  <w:abstractNum w:abstractNumId="13">
    <w:nsid w:val="6394709F"/>
    <w:multiLevelType w:val="hybridMultilevel"/>
    <w:tmpl w:val="98AE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B01A95"/>
    <w:multiLevelType w:val="hybridMultilevel"/>
    <w:tmpl w:val="98C65382"/>
    <w:lvl w:ilvl="0" w:tplc="3572B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54D8A"/>
    <w:multiLevelType w:val="multilevel"/>
    <w:tmpl w:val="3AA8AF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5F1183C"/>
    <w:multiLevelType w:val="hybridMultilevel"/>
    <w:tmpl w:val="E59083E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67963184"/>
    <w:multiLevelType w:val="multilevel"/>
    <w:tmpl w:val="0394B054"/>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EDF2613"/>
    <w:multiLevelType w:val="hybridMultilevel"/>
    <w:tmpl w:val="7F869FCA"/>
    <w:lvl w:ilvl="0" w:tplc="4409001B">
      <w:start w:val="1"/>
      <w:numFmt w:val="lowerRoman"/>
      <w:lvlText w:val="%1."/>
      <w:lvlJc w:val="right"/>
      <w:pPr>
        <w:ind w:left="761" w:hanging="360"/>
      </w:pPr>
    </w:lvl>
    <w:lvl w:ilvl="1" w:tplc="44090019" w:tentative="1">
      <w:start w:val="1"/>
      <w:numFmt w:val="lowerLetter"/>
      <w:lvlText w:val="%2."/>
      <w:lvlJc w:val="left"/>
      <w:pPr>
        <w:ind w:left="1481" w:hanging="360"/>
      </w:pPr>
    </w:lvl>
    <w:lvl w:ilvl="2" w:tplc="4409001B" w:tentative="1">
      <w:start w:val="1"/>
      <w:numFmt w:val="lowerRoman"/>
      <w:lvlText w:val="%3."/>
      <w:lvlJc w:val="right"/>
      <w:pPr>
        <w:ind w:left="2201" w:hanging="180"/>
      </w:pPr>
    </w:lvl>
    <w:lvl w:ilvl="3" w:tplc="4409000F" w:tentative="1">
      <w:start w:val="1"/>
      <w:numFmt w:val="decimal"/>
      <w:lvlText w:val="%4."/>
      <w:lvlJc w:val="left"/>
      <w:pPr>
        <w:ind w:left="2921" w:hanging="360"/>
      </w:pPr>
    </w:lvl>
    <w:lvl w:ilvl="4" w:tplc="44090019" w:tentative="1">
      <w:start w:val="1"/>
      <w:numFmt w:val="lowerLetter"/>
      <w:lvlText w:val="%5."/>
      <w:lvlJc w:val="left"/>
      <w:pPr>
        <w:ind w:left="3641" w:hanging="360"/>
      </w:pPr>
    </w:lvl>
    <w:lvl w:ilvl="5" w:tplc="4409001B" w:tentative="1">
      <w:start w:val="1"/>
      <w:numFmt w:val="lowerRoman"/>
      <w:lvlText w:val="%6."/>
      <w:lvlJc w:val="right"/>
      <w:pPr>
        <w:ind w:left="4361" w:hanging="180"/>
      </w:pPr>
    </w:lvl>
    <w:lvl w:ilvl="6" w:tplc="4409000F" w:tentative="1">
      <w:start w:val="1"/>
      <w:numFmt w:val="decimal"/>
      <w:lvlText w:val="%7."/>
      <w:lvlJc w:val="left"/>
      <w:pPr>
        <w:ind w:left="5081" w:hanging="360"/>
      </w:pPr>
    </w:lvl>
    <w:lvl w:ilvl="7" w:tplc="44090019" w:tentative="1">
      <w:start w:val="1"/>
      <w:numFmt w:val="lowerLetter"/>
      <w:lvlText w:val="%8."/>
      <w:lvlJc w:val="left"/>
      <w:pPr>
        <w:ind w:left="5801" w:hanging="360"/>
      </w:pPr>
    </w:lvl>
    <w:lvl w:ilvl="8" w:tplc="4409001B" w:tentative="1">
      <w:start w:val="1"/>
      <w:numFmt w:val="lowerRoman"/>
      <w:lvlText w:val="%9."/>
      <w:lvlJc w:val="right"/>
      <w:pPr>
        <w:ind w:left="6521" w:hanging="180"/>
      </w:pPr>
    </w:lvl>
  </w:abstractNum>
  <w:abstractNum w:abstractNumId="19">
    <w:nsid w:val="728D63F6"/>
    <w:multiLevelType w:val="hybridMultilevel"/>
    <w:tmpl w:val="2B12C93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7AF0097B"/>
    <w:multiLevelType w:val="hybridMultilevel"/>
    <w:tmpl w:val="ABB8406A"/>
    <w:lvl w:ilvl="0" w:tplc="77D8383A">
      <w:start w:val="1"/>
      <w:numFmt w:val="bullet"/>
      <w:lvlText w:val=""/>
      <w:lvlJc w:val="left"/>
      <w:pPr>
        <w:tabs>
          <w:tab w:val="num" w:pos="720"/>
        </w:tabs>
        <w:ind w:left="720" w:hanging="360"/>
      </w:pPr>
      <w:rPr>
        <w:rFonts w:ascii="Symbol" w:hAnsi="Symbol" w:hint="default"/>
      </w:rPr>
    </w:lvl>
    <w:lvl w:ilvl="1" w:tplc="63F05C18">
      <w:start w:val="1723"/>
      <w:numFmt w:val="bullet"/>
      <w:lvlText w:val=""/>
      <w:lvlJc w:val="left"/>
      <w:pPr>
        <w:tabs>
          <w:tab w:val="num" w:pos="1440"/>
        </w:tabs>
        <w:ind w:left="1440" w:hanging="360"/>
      </w:pPr>
      <w:rPr>
        <w:rFonts w:ascii="Wingdings" w:hAnsi="Wingdings" w:hint="default"/>
      </w:rPr>
    </w:lvl>
    <w:lvl w:ilvl="2" w:tplc="A05A0624" w:tentative="1">
      <w:start w:val="1"/>
      <w:numFmt w:val="bullet"/>
      <w:lvlText w:val=""/>
      <w:lvlJc w:val="left"/>
      <w:pPr>
        <w:tabs>
          <w:tab w:val="num" w:pos="2160"/>
        </w:tabs>
        <w:ind w:left="2160" w:hanging="360"/>
      </w:pPr>
      <w:rPr>
        <w:rFonts w:ascii="Symbol" w:hAnsi="Symbol" w:hint="default"/>
      </w:rPr>
    </w:lvl>
    <w:lvl w:ilvl="3" w:tplc="FCC80E0E" w:tentative="1">
      <w:start w:val="1"/>
      <w:numFmt w:val="bullet"/>
      <w:lvlText w:val=""/>
      <w:lvlJc w:val="left"/>
      <w:pPr>
        <w:tabs>
          <w:tab w:val="num" w:pos="2880"/>
        </w:tabs>
        <w:ind w:left="2880" w:hanging="360"/>
      </w:pPr>
      <w:rPr>
        <w:rFonts w:ascii="Symbol" w:hAnsi="Symbol" w:hint="default"/>
      </w:rPr>
    </w:lvl>
    <w:lvl w:ilvl="4" w:tplc="8E9C6CC2" w:tentative="1">
      <w:start w:val="1"/>
      <w:numFmt w:val="bullet"/>
      <w:lvlText w:val=""/>
      <w:lvlJc w:val="left"/>
      <w:pPr>
        <w:tabs>
          <w:tab w:val="num" w:pos="3600"/>
        </w:tabs>
        <w:ind w:left="3600" w:hanging="360"/>
      </w:pPr>
      <w:rPr>
        <w:rFonts w:ascii="Symbol" w:hAnsi="Symbol" w:hint="default"/>
      </w:rPr>
    </w:lvl>
    <w:lvl w:ilvl="5" w:tplc="E0583AD2" w:tentative="1">
      <w:start w:val="1"/>
      <w:numFmt w:val="bullet"/>
      <w:lvlText w:val=""/>
      <w:lvlJc w:val="left"/>
      <w:pPr>
        <w:tabs>
          <w:tab w:val="num" w:pos="4320"/>
        </w:tabs>
        <w:ind w:left="4320" w:hanging="360"/>
      </w:pPr>
      <w:rPr>
        <w:rFonts w:ascii="Symbol" w:hAnsi="Symbol" w:hint="default"/>
      </w:rPr>
    </w:lvl>
    <w:lvl w:ilvl="6" w:tplc="E2904024" w:tentative="1">
      <w:start w:val="1"/>
      <w:numFmt w:val="bullet"/>
      <w:lvlText w:val=""/>
      <w:lvlJc w:val="left"/>
      <w:pPr>
        <w:tabs>
          <w:tab w:val="num" w:pos="5040"/>
        </w:tabs>
        <w:ind w:left="5040" w:hanging="360"/>
      </w:pPr>
      <w:rPr>
        <w:rFonts w:ascii="Symbol" w:hAnsi="Symbol" w:hint="default"/>
      </w:rPr>
    </w:lvl>
    <w:lvl w:ilvl="7" w:tplc="050E641C" w:tentative="1">
      <w:start w:val="1"/>
      <w:numFmt w:val="bullet"/>
      <w:lvlText w:val=""/>
      <w:lvlJc w:val="left"/>
      <w:pPr>
        <w:tabs>
          <w:tab w:val="num" w:pos="5760"/>
        </w:tabs>
        <w:ind w:left="5760" w:hanging="360"/>
      </w:pPr>
      <w:rPr>
        <w:rFonts w:ascii="Symbol" w:hAnsi="Symbol" w:hint="default"/>
      </w:rPr>
    </w:lvl>
    <w:lvl w:ilvl="8" w:tplc="F5CE6D6A"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12"/>
  </w:num>
  <w:num w:numId="3">
    <w:abstractNumId w:val="16"/>
  </w:num>
  <w:num w:numId="4">
    <w:abstractNumId w:val="18"/>
  </w:num>
  <w:num w:numId="5">
    <w:abstractNumId w:val="19"/>
  </w:num>
  <w:num w:numId="6">
    <w:abstractNumId w:val="11"/>
  </w:num>
  <w:num w:numId="7">
    <w:abstractNumId w:val="7"/>
  </w:num>
  <w:num w:numId="8">
    <w:abstractNumId w:val="17"/>
  </w:num>
  <w:num w:numId="9">
    <w:abstractNumId w:val="13"/>
  </w:num>
  <w:num w:numId="10">
    <w:abstractNumId w:val="6"/>
  </w:num>
  <w:num w:numId="11">
    <w:abstractNumId w:val="0"/>
  </w:num>
  <w:num w:numId="12">
    <w:abstractNumId w:val="8"/>
  </w:num>
  <w:num w:numId="13">
    <w:abstractNumId w:val="1"/>
  </w:num>
  <w:num w:numId="14">
    <w:abstractNumId w:val="5"/>
  </w:num>
  <w:num w:numId="15">
    <w:abstractNumId w:val="15"/>
  </w:num>
  <w:num w:numId="16">
    <w:abstractNumId w:val="20"/>
  </w:num>
  <w:num w:numId="17">
    <w:abstractNumId w:val="3"/>
  </w:num>
  <w:num w:numId="18">
    <w:abstractNumId w:val="2"/>
  </w:num>
  <w:num w:numId="19">
    <w:abstractNumId w:val="14"/>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rdw0fde5dss9be5z2svrrxfvxr5x95awwdw&quot;&gt;Iqtisad Islami&lt;record-ids&gt;&lt;item&gt;48&lt;/item&gt;&lt;item&gt;63&lt;/item&gt;&lt;item&gt;78&lt;/item&gt;&lt;item&gt;85&lt;/item&gt;&lt;item&gt;213&lt;/item&gt;&lt;item&gt;286&lt;/item&gt;&lt;item&gt;378&lt;/item&gt;&lt;item&gt;379&lt;/item&gt;&lt;item&gt;381&lt;/item&gt;&lt;/record-ids&gt;&lt;/item&gt;&lt;item db-id=&quot;avp0txxshtfdsletf02v9ztyptrr95z52d9v&quot;&gt;Shariah&lt;record-ids&gt;&lt;item&gt;34&lt;/item&gt;&lt;/record-ids&gt;&lt;/item&gt;&lt;/Libraries&gt;"/>
  </w:docVars>
  <w:rsids>
    <w:rsidRoot w:val="00367A1D"/>
    <w:rsid w:val="00002862"/>
    <w:rsid w:val="00032DEB"/>
    <w:rsid w:val="0003774C"/>
    <w:rsid w:val="00040EFE"/>
    <w:rsid w:val="00042224"/>
    <w:rsid w:val="00044F70"/>
    <w:rsid w:val="00051B25"/>
    <w:rsid w:val="00065177"/>
    <w:rsid w:val="00065649"/>
    <w:rsid w:val="0007395C"/>
    <w:rsid w:val="000819A1"/>
    <w:rsid w:val="00083835"/>
    <w:rsid w:val="000A59C3"/>
    <w:rsid w:val="000B1B69"/>
    <w:rsid w:val="000C18CF"/>
    <w:rsid w:val="000C4078"/>
    <w:rsid w:val="000D4E71"/>
    <w:rsid w:val="000E150E"/>
    <w:rsid w:val="000E3C5C"/>
    <w:rsid w:val="000E53B5"/>
    <w:rsid w:val="000E6B03"/>
    <w:rsid w:val="0010046D"/>
    <w:rsid w:val="00106595"/>
    <w:rsid w:val="00125D9D"/>
    <w:rsid w:val="00130EFB"/>
    <w:rsid w:val="001336CA"/>
    <w:rsid w:val="001339A1"/>
    <w:rsid w:val="001354D4"/>
    <w:rsid w:val="0015072D"/>
    <w:rsid w:val="001528CD"/>
    <w:rsid w:val="00160857"/>
    <w:rsid w:val="0016473D"/>
    <w:rsid w:val="00173D7F"/>
    <w:rsid w:val="0018130B"/>
    <w:rsid w:val="001828B8"/>
    <w:rsid w:val="00193D49"/>
    <w:rsid w:val="001A1799"/>
    <w:rsid w:val="001A5B9E"/>
    <w:rsid w:val="001B577D"/>
    <w:rsid w:val="001D0EAD"/>
    <w:rsid w:val="001F63AE"/>
    <w:rsid w:val="001F64B0"/>
    <w:rsid w:val="001F784C"/>
    <w:rsid w:val="00200700"/>
    <w:rsid w:val="0020177B"/>
    <w:rsid w:val="00230B49"/>
    <w:rsid w:val="00237F79"/>
    <w:rsid w:val="00252E75"/>
    <w:rsid w:val="002769B6"/>
    <w:rsid w:val="00277213"/>
    <w:rsid w:val="00281FBF"/>
    <w:rsid w:val="00283E44"/>
    <w:rsid w:val="0029171E"/>
    <w:rsid w:val="002C2278"/>
    <w:rsid w:val="002C25A5"/>
    <w:rsid w:val="002C6740"/>
    <w:rsid w:val="002D0039"/>
    <w:rsid w:val="002D0E03"/>
    <w:rsid w:val="002E09E1"/>
    <w:rsid w:val="002E64C4"/>
    <w:rsid w:val="00305164"/>
    <w:rsid w:val="00321DC0"/>
    <w:rsid w:val="003235DB"/>
    <w:rsid w:val="00337E05"/>
    <w:rsid w:val="00341C74"/>
    <w:rsid w:val="003430B9"/>
    <w:rsid w:val="0034546B"/>
    <w:rsid w:val="00345C9A"/>
    <w:rsid w:val="00360E10"/>
    <w:rsid w:val="00362240"/>
    <w:rsid w:val="003647F3"/>
    <w:rsid w:val="00367A1D"/>
    <w:rsid w:val="003743F8"/>
    <w:rsid w:val="003907CE"/>
    <w:rsid w:val="003909C8"/>
    <w:rsid w:val="003A6705"/>
    <w:rsid w:val="003D515A"/>
    <w:rsid w:val="003D6E40"/>
    <w:rsid w:val="003E09EF"/>
    <w:rsid w:val="003E0FEA"/>
    <w:rsid w:val="003E4E4D"/>
    <w:rsid w:val="003F75B1"/>
    <w:rsid w:val="00420135"/>
    <w:rsid w:val="004376B8"/>
    <w:rsid w:val="00446122"/>
    <w:rsid w:val="0045549D"/>
    <w:rsid w:val="00465E7B"/>
    <w:rsid w:val="00474657"/>
    <w:rsid w:val="00491048"/>
    <w:rsid w:val="004B7897"/>
    <w:rsid w:val="004C6877"/>
    <w:rsid w:val="004D0388"/>
    <w:rsid w:val="004D33B2"/>
    <w:rsid w:val="004D5C3E"/>
    <w:rsid w:val="004E740A"/>
    <w:rsid w:val="00517F69"/>
    <w:rsid w:val="00522942"/>
    <w:rsid w:val="00524DE3"/>
    <w:rsid w:val="0053016A"/>
    <w:rsid w:val="00532AF8"/>
    <w:rsid w:val="00552BD9"/>
    <w:rsid w:val="00560006"/>
    <w:rsid w:val="00565B2C"/>
    <w:rsid w:val="00570EDD"/>
    <w:rsid w:val="00582AEC"/>
    <w:rsid w:val="0058706B"/>
    <w:rsid w:val="0059346B"/>
    <w:rsid w:val="00594CDB"/>
    <w:rsid w:val="0059504E"/>
    <w:rsid w:val="00595730"/>
    <w:rsid w:val="005A0461"/>
    <w:rsid w:val="005A4D75"/>
    <w:rsid w:val="005B0127"/>
    <w:rsid w:val="005B289A"/>
    <w:rsid w:val="005D2C55"/>
    <w:rsid w:val="005E0C20"/>
    <w:rsid w:val="005F372B"/>
    <w:rsid w:val="0060085F"/>
    <w:rsid w:val="00606CE8"/>
    <w:rsid w:val="00620AB5"/>
    <w:rsid w:val="006260D8"/>
    <w:rsid w:val="00641169"/>
    <w:rsid w:val="00642B76"/>
    <w:rsid w:val="0064351D"/>
    <w:rsid w:val="0064573F"/>
    <w:rsid w:val="00651F1F"/>
    <w:rsid w:val="0065526E"/>
    <w:rsid w:val="006777D2"/>
    <w:rsid w:val="00680264"/>
    <w:rsid w:val="00696FA7"/>
    <w:rsid w:val="006A7328"/>
    <w:rsid w:val="006C6334"/>
    <w:rsid w:val="006C75A6"/>
    <w:rsid w:val="006C7940"/>
    <w:rsid w:val="006E1508"/>
    <w:rsid w:val="006E1AA4"/>
    <w:rsid w:val="006E39A6"/>
    <w:rsid w:val="006F12AF"/>
    <w:rsid w:val="006F16C3"/>
    <w:rsid w:val="006F185E"/>
    <w:rsid w:val="00711ED1"/>
    <w:rsid w:val="00714E66"/>
    <w:rsid w:val="00717DFC"/>
    <w:rsid w:val="007242E4"/>
    <w:rsid w:val="00732437"/>
    <w:rsid w:val="0073422C"/>
    <w:rsid w:val="00734FF6"/>
    <w:rsid w:val="0074446B"/>
    <w:rsid w:val="007515F9"/>
    <w:rsid w:val="00751DED"/>
    <w:rsid w:val="00766141"/>
    <w:rsid w:val="007703B2"/>
    <w:rsid w:val="007705EA"/>
    <w:rsid w:val="00790110"/>
    <w:rsid w:val="007A01D5"/>
    <w:rsid w:val="007A0680"/>
    <w:rsid w:val="007A1190"/>
    <w:rsid w:val="007A3814"/>
    <w:rsid w:val="007B5BAF"/>
    <w:rsid w:val="007B7AA3"/>
    <w:rsid w:val="007C2E03"/>
    <w:rsid w:val="007D175A"/>
    <w:rsid w:val="007D60EE"/>
    <w:rsid w:val="007E62AD"/>
    <w:rsid w:val="007F000F"/>
    <w:rsid w:val="007F4ABB"/>
    <w:rsid w:val="0080661B"/>
    <w:rsid w:val="00810655"/>
    <w:rsid w:val="008152CF"/>
    <w:rsid w:val="00824B8A"/>
    <w:rsid w:val="00825025"/>
    <w:rsid w:val="00827B1B"/>
    <w:rsid w:val="00843971"/>
    <w:rsid w:val="00860341"/>
    <w:rsid w:val="008748EC"/>
    <w:rsid w:val="0088667F"/>
    <w:rsid w:val="00886A72"/>
    <w:rsid w:val="00895371"/>
    <w:rsid w:val="00896BF7"/>
    <w:rsid w:val="008A2F71"/>
    <w:rsid w:val="008A7256"/>
    <w:rsid w:val="008B4038"/>
    <w:rsid w:val="008B42C9"/>
    <w:rsid w:val="008B7832"/>
    <w:rsid w:val="008C4230"/>
    <w:rsid w:val="008C6713"/>
    <w:rsid w:val="008D0DE5"/>
    <w:rsid w:val="008D7F95"/>
    <w:rsid w:val="008F2C26"/>
    <w:rsid w:val="008F6740"/>
    <w:rsid w:val="008F7819"/>
    <w:rsid w:val="00903DEF"/>
    <w:rsid w:val="00903EA3"/>
    <w:rsid w:val="00906198"/>
    <w:rsid w:val="0091292F"/>
    <w:rsid w:val="00927BFD"/>
    <w:rsid w:val="00960C58"/>
    <w:rsid w:val="00987FB7"/>
    <w:rsid w:val="009B6B34"/>
    <w:rsid w:val="009C0481"/>
    <w:rsid w:val="009C13FD"/>
    <w:rsid w:val="009D131E"/>
    <w:rsid w:val="009D3CD8"/>
    <w:rsid w:val="009E56B9"/>
    <w:rsid w:val="009F3FA6"/>
    <w:rsid w:val="009F40A6"/>
    <w:rsid w:val="00A2141C"/>
    <w:rsid w:val="00A26309"/>
    <w:rsid w:val="00A36A24"/>
    <w:rsid w:val="00A4289F"/>
    <w:rsid w:val="00A5757D"/>
    <w:rsid w:val="00A60B76"/>
    <w:rsid w:val="00A9389B"/>
    <w:rsid w:val="00AA0BBE"/>
    <w:rsid w:val="00AA29F0"/>
    <w:rsid w:val="00AB09C9"/>
    <w:rsid w:val="00AB0B29"/>
    <w:rsid w:val="00AB4BF5"/>
    <w:rsid w:val="00AB5504"/>
    <w:rsid w:val="00AB7F83"/>
    <w:rsid w:val="00AC1535"/>
    <w:rsid w:val="00AC2657"/>
    <w:rsid w:val="00AD03EF"/>
    <w:rsid w:val="00AD0C8E"/>
    <w:rsid w:val="00AE443E"/>
    <w:rsid w:val="00AE58EA"/>
    <w:rsid w:val="00AF1445"/>
    <w:rsid w:val="00B046C8"/>
    <w:rsid w:val="00B1082A"/>
    <w:rsid w:val="00B17605"/>
    <w:rsid w:val="00B245BD"/>
    <w:rsid w:val="00B36696"/>
    <w:rsid w:val="00B40561"/>
    <w:rsid w:val="00B50341"/>
    <w:rsid w:val="00B55037"/>
    <w:rsid w:val="00B56029"/>
    <w:rsid w:val="00B61655"/>
    <w:rsid w:val="00B71048"/>
    <w:rsid w:val="00B8141C"/>
    <w:rsid w:val="00B8246F"/>
    <w:rsid w:val="00B829AB"/>
    <w:rsid w:val="00B907D8"/>
    <w:rsid w:val="00B93406"/>
    <w:rsid w:val="00B939BE"/>
    <w:rsid w:val="00B93D46"/>
    <w:rsid w:val="00B9445E"/>
    <w:rsid w:val="00BB10FA"/>
    <w:rsid w:val="00BB2064"/>
    <w:rsid w:val="00BB692F"/>
    <w:rsid w:val="00BD0D1B"/>
    <w:rsid w:val="00BD12C4"/>
    <w:rsid w:val="00BD3440"/>
    <w:rsid w:val="00BE058F"/>
    <w:rsid w:val="00BE7EC5"/>
    <w:rsid w:val="00BF192D"/>
    <w:rsid w:val="00BF4995"/>
    <w:rsid w:val="00C06366"/>
    <w:rsid w:val="00C10912"/>
    <w:rsid w:val="00C15F9E"/>
    <w:rsid w:val="00C22DAE"/>
    <w:rsid w:val="00C33E04"/>
    <w:rsid w:val="00C33F65"/>
    <w:rsid w:val="00C3533F"/>
    <w:rsid w:val="00C60C60"/>
    <w:rsid w:val="00C61FAC"/>
    <w:rsid w:val="00C63F59"/>
    <w:rsid w:val="00C64B33"/>
    <w:rsid w:val="00C8136C"/>
    <w:rsid w:val="00CA5EE4"/>
    <w:rsid w:val="00CB792A"/>
    <w:rsid w:val="00CD3FB7"/>
    <w:rsid w:val="00CE1C23"/>
    <w:rsid w:val="00CF6454"/>
    <w:rsid w:val="00D03E69"/>
    <w:rsid w:val="00D04744"/>
    <w:rsid w:val="00D240F3"/>
    <w:rsid w:val="00D32961"/>
    <w:rsid w:val="00D33B71"/>
    <w:rsid w:val="00D35A28"/>
    <w:rsid w:val="00D3752F"/>
    <w:rsid w:val="00D427D3"/>
    <w:rsid w:val="00D42E40"/>
    <w:rsid w:val="00D44D71"/>
    <w:rsid w:val="00D452DD"/>
    <w:rsid w:val="00D52E70"/>
    <w:rsid w:val="00D57229"/>
    <w:rsid w:val="00D603ED"/>
    <w:rsid w:val="00D60C85"/>
    <w:rsid w:val="00D733AA"/>
    <w:rsid w:val="00D749F4"/>
    <w:rsid w:val="00D757DA"/>
    <w:rsid w:val="00D85FC9"/>
    <w:rsid w:val="00D86367"/>
    <w:rsid w:val="00D97718"/>
    <w:rsid w:val="00DA6891"/>
    <w:rsid w:val="00DB1B18"/>
    <w:rsid w:val="00DD53A8"/>
    <w:rsid w:val="00DF3743"/>
    <w:rsid w:val="00DF7DE7"/>
    <w:rsid w:val="00E03974"/>
    <w:rsid w:val="00E047F5"/>
    <w:rsid w:val="00E1676E"/>
    <w:rsid w:val="00E17B95"/>
    <w:rsid w:val="00E21AAC"/>
    <w:rsid w:val="00E30447"/>
    <w:rsid w:val="00E31A8B"/>
    <w:rsid w:val="00E3346E"/>
    <w:rsid w:val="00E3349D"/>
    <w:rsid w:val="00E457CF"/>
    <w:rsid w:val="00E66C8A"/>
    <w:rsid w:val="00E72604"/>
    <w:rsid w:val="00E72C4D"/>
    <w:rsid w:val="00E8271A"/>
    <w:rsid w:val="00E85F22"/>
    <w:rsid w:val="00E87B1A"/>
    <w:rsid w:val="00EA41AF"/>
    <w:rsid w:val="00EA5703"/>
    <w:rsid w:val="00EA7CD4"/>
    <w:rsid w:val="00EE2699"/>
    <w:rsid w:val="00EE39D4"/>
    <w:rsid w:val="00EE48B3"/>
    <w:rsid w:val="00EF4180"/>
    <w:rsid w:val="00EF743F"/>
    <w:rsid w:val="00F013F7"/>
    <w:rsid w:val="00F159E6"/>
    <w:rsid w:val="00F2159C"/>
    <w:rsid w:val="00F25E45"/>
    <w:rsid w:val="00F25F16"/>
    <w:rsid w:val="00F351D5"/>
    <w:rsid w:val="00F472AF"/>
    <w:rsid w:val="00F77021"/>
    <w:rsid w:val="00F81451"/>
    <w:rsid w:val="00FA1200"/>
    <w:rsid w:val="00FA159D"/>
    <w:rsid w:val="00FA1631"/>
    <w:rsid w:val="00FB45E5"/>
    <w:rsid w:val="00FC2CBE"/>
    <w:rsid w:val="00FD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C4"/>
    <w:pPr>
      <w:spacing w:line="480" w:lineRule="auto"/>
      <w:jc w:val="both"/>
    </w:pPr>
    <w:rPr>
      <w:sz w:val="24"/>
      <w:lang w:val="ms-MY"/>
    </w:rPr>
  </w:style>
  <w:style w:type="paragraph" w:styleId="Heading1">
    <w:name w:val="heading 1"/>
    <w:basedOn w:val="Normal"/>
    <w:next w:val="Normal"/>
    <w:link w:val="Heading1Char"/>
    <w:uiPriority w:val="9"/>
    <w:qFormat/>
    <w:rsid w:val="00B1082A"/>
    <w:pPr>
      <w:keepNext/>
      <w:keepLines/>
      <w:spacing w:before="100" w:beforeAutospacing="1" w:after="100" w:afterAutospacing="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91048"/>
    <w:pPr>
      <w:keepNext/>
      <w:keepLines/>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6F185E"/>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2A"/>
    <w:rPr>
      <w:rFonts w:asciiTheme="majorHAnsi" w:eastAsiaTheme="majorEastAsia" w:hAnsiTheme="majorHAnsi" w:cstheme="majorBidi"/>
      <w:b/>
      <w:bCs/>
      <w:sz w:val="28"/>
      <w:szCs w:val="28"/>
      <w:lang w:val="en-MY"/>
    </w:rPr>
  </w:style>
  <w:style w:type="character" w:customStyle="1" w:styleId="Heading2Char">
    <w:name w:val="Heading 2 Char"/>
    <w:basedOn w:val="DefaultParagraphFont"/>
    <w:link w:val="Heading2"/>
    <w:uiPriority w:val="9"/>
    <w:rsid w:val="00491048"/>
    <w:rPr>
      <w:rFonts w:asciiTheme="majorHAnsi" w:eastAsiaTheme="majorEastAsia" w:hAnsiTheme="majorHAnsi" w:cstheme="majorBidi"/>
      <w:b/>
      <w:bCs/>
      <w:sz w:val="24"/>
      <w:szCs w:val="26"/>
      <w:lang w:val="en-MY"/>
    </w:rPr>
  </w:style>
  <w:style w:type="character" w:customStyle="1" w:styleId="Heading3Char">
    <w:name w:val="Heading 3 Char"/>
    <w:basedOn w:val="DefaultParagraphFont"/>
    <w:link w:val="Heading3"/>
    <w:uiPriority w:val="9"/>
    <w:rsid w:val="006F185E"/>
    <w:rPr>
      <w:rFonts w:asciiTheme="majorHAnsi" w:eastAsiaTheme="majorEastAsia" w:hAnsiTheme="majorHAnsi" w:cstheme="majorBidi"/>
      <w:b/>
      <w:bCs/>
      <w:sz w:val="24"/>
      <w:lang w:val="ms-MY"/>
    </w:rPr>
  </w:style>
  <w:style w:type="paragraph" w:styleId="FootnoteText">
    <w:name w:val="footnote text"/>
    <w:basedOn w:val="Normal"/>
    <w:link w:val="FootnoteTextChar"/>
    <w:uiPriority w:val="99"/>
    <w:unhideWhenUsed/>
    <w:rsid w:val="00C33E04"/>
    <w:pPr>
      <w:spacing w:after="0"/>
    </w:pPr>
    <w:rPr>
      <w:sz w:val="20"/>
      <w:szCs w:val="20"/>
    </w:rPr>
  </w:style>
  <w:style w:type="character" w:customStyle="1" w:styleId="FootnoteTextChar">
    <w:name w:val="Footnote Text Char"/>
    <w:basedOn w:val="DefaultParagraphFont"/>
    <w:link w:val="FootnoteText"/>
    <w:uiPriority w:val="99"/>
    <w:rsid w:val="00C33E04"/>
    <w:rPr>
      <w:sz w:val="20"/>
      <w:szCs w:val="20"/>
      <w:lang w:val="en-MY"/>
    </w:rPr>
  </w:style>
  <w:style w:type="character" w:styleId="FootnoteReference">
    <w:name w:val="footnote reference"/>
    <w:basedOn w:val="DefaultParagraphFont"/>
    <w:uiPriority w:val="99"/>
    <w:semiHidden/>
    <w:unhideWhenUsed/>
    <w:rsid w:val="00C33E04"/>
    <w:rPr>
      <w:vertAlign w:val="superscript"/>
    </w:rPr>
  </w:style>
  <w:style w:type="character" w:styleId="Hyperlink">
    <w:name w:val="Hyperlink"/>
    <w:basedOn w:val="DefaultParagraphFont"/>
    <w:uiPriority w:val="99"/>
    <w:unhideWhenUsed/>
    <w:rsid w:val="00C33E04"/>
    <w:rPr>
      <w:color w:val="0000FF" w:themeColor="hyperlink"/>
      <w:u w:val="single"/>
    </w:rPr>
  </w:style>
  <w:style w:type="paragraph" w:styleId="TOC1">
    <w:name w:val="toc 1"/>
    <w:basedOn w:val="Normal"/>
    <w:next w:val="Normal"/>
    <w:autoRedefine/>
    <w:uiPriority w:val="39"/>
    <w:unhideWhenUsed/>
    <w:rsid w:val="00C33E04"/>
    <w:pPr>
      <w:spacing w:after="100"/>
    </w:pPr>
  </w:style>
  <w:style w:type="paragraph" w:styleId="TOC2">
    <w:name w:val="toc 2"/>
    <w:basedOn w:val="Normal"/>
    <w:next w:val="Normal"/>
    <w:autoRedefine/>
    <w:uiPriority w:val="39"/>
    <w:unhideWhenUsed/>
    <w:rsid w:val="00C33E04"/>
    <w:pPr>
      <w:spacing w:after="100"/>
      <w:ind w:left="220"/>
    </w:pPr>
  </w:style>
  <w:style w:type="table" w:styleId="TableGrid">
    <w:name w:val="Table Grid"/>
    <w:basedOn w:val="TableNormal"/>
    <w:uiPriority w:val="59"/>
    <w:rsid w:val="00C33E04"/>
    <w:pPr>
      <w:spacing w:after="0" w:line="240" w:lineRule="auto"/>
    </w:pPr>
    <w:rPr>
      <w:lang w:val="en-M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rsid w:val="00C33E04"/>
    <w:rPr>
      <w:rFonts w:ascii="Courier New" w:eastAsia="Times New Roman" w:hAnsi="Courier New" w:cs="Courier New"/>
      <w:sz w:val="20"/>
      <w:szCs w:val="20"/>
    </w:rPr>
  </w:style>
  <w:style w:type="paragraph" w:customStyle="1" w:styleId="hed">
    <w:name w:val="hed"/>
    <w:basedOn w:val="Normal"/>
    <w:rsid w:val="00C33E04"/>
    <w:pPr>
      <w:spacing w:before="100" w:beforeAutospacing="1" w:after="100" w:afterAutospacing="1"/>
    </w:pPr>
    <w:rPr>
      <w:rFonts w:ascii="Arial" w:eastAsia="Arial Unicode MS" w:hAnsi="Arial" w:cs="Arial"/>
      <w:b/>
      <w:bCs/>
      <w:color w:val="000000"/>
      <w:szCs w:val="24"/>
      <w:lang w:val="en-US"/>
    </w:rPr>
  </w:style>
  <w:style w:type="paragraph" w:customStyle="1" w:styleId="Title2">
    <w:name w:val="Title 2"/>
    <w:basedOn w:val="Normal"/>
    <w:link w:val="Title2Char"/>
    <w:qFormat/>
    <w:rsid w:val="00C33E04"/>
    <w:pPr>
      <w:spacing w:line="360" w:lineRule="auto"/>
      <w:jc w:val="center"/>
    </w:pPr>
    <w:rPr>
      <w:b/>
      <w:bCs/>
      <w:sz w:val="28"/>
      <w:szCs w:val="24"/>
    </w:rPr>
  </w:style>
  <w:style w:type="character" w:customStyle="1" w:styleId="Title2Char">
    <w:name w:val="Title 2 Char"/>
    <w:basedOn w:val="DefaultParagraphFont"/>
    <w:link w:val="Title2"/>
    <w:rsid w:val="00C33E04"/>
    <w:rPr>
      <w:b/>
      <w:bCs/>
      <w:sz w:val="28"/>
      <w:szCs w:val="24"/>
      <w:lang w:val="en-MY"/>
    </w:rPr>
  </w:style>
  <w:style w:type="paragraph" w:styleId="Footer">
    <w:name w:val="footer"/>
    <w:basedOn w:val="Normal"/>
    <w:link w:val="FooterChar"/>
    <w:uiPriority w:val="99"/>
    <w:unhideWhenUsed/>
    <w:rsid w:val="00C33E04"/>
    <w:pPr>
      <w:tabs>
        <w:tab w:val="center" w:pos="4153"/>
        <w:tab w:val="right" w:pos="8306"/>
      </w:tabs>
      <w:spacing w:after="0"/>
    </w:pPr>
  </w:style>
  <w:style w:type="character" w:customStyle="1" w:styleId="FooterChar">
    <w:name w:val="Footer Char"/>
    <w:basedOn w:val="DefaultParagraphFont"/>
    <w:link w:val="Footer"/>
    <w:uiPriority w:val="99"/>
    <w:rsid w:val="00C33E04"/>
    <w:rPr>
      <w:sz w:val="24"/>
      <w:lang w:val="en-MY"/>
    </w:rPr>
  </w:style>
  <w:style w:type="paragraph" w:styleId="ListParagraph">
    <w:name w:val="List Paragraph"/>
    <w:basedOn w:val="Normal"/>
    <w:uiPriority w:val="34"/>
    <w:qFormat/>
    <w:rsid w:val="00C33E04"/>
    <w:pPr>
      <w:ind w:left="720"/>
      <w:contextualSpacing/>
    </w:pPr>
  </w:style>
  <w:style w:type="paragraph" w:styleId="Caption">
    <w:name w:val="caption"/>
    <w:basedOn w:val="Normal"/>
    <w:next w:val="Normal"/>
    <w:uiPriority w:val="35"/>
    <w:unhideWhenUsed/>
    <w:qFormat/>
    <w:rsid w:val="00F25F16"/>
    <w:pPr>
      <w:jc w:val="center"/>
    </w:pPr>
    <w:rPr>
      <w:b/>
      <w:bCs/>
      <w:sz w:val="18"/>
      <w:szCs w:val="18"/>
    </w:rPr>
  </w:style>
  <w:style w:type="paragraph" w:styleId="BalloonText">
    <w:name w:val="Balloon Text"/>
    <w:basedOn w:val="Normal"/>
    <w:link w:val="BalloonTextChar"/>
    <w:uiPriority w:val="99"/>
    <w:semiHidden/>
    <w:unhideWhenUsed/>
    <w:rsid w:val="00C33E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E04"/>
    <w:rPr>
      <w:rFonts w:ascii="Tahoma" w:hAnsi="Tahoma" w:cs="Tahoma"/>
      <w:sz w:val="16"/>
      <w:szCs w:val="16"/>
      <w:lang w:val="en-MY"/>
    </w:rPr>
  </w:style>
  <w:style w:type="paragraph" w:styleId="NormalWeb">
    <w:name w:val="Normal (Web)"/>
    <w:basedOn w:val="Normal"/>
    <w:uiPriority w:val="99"/>
    <w:unhideWhenUsed/>
    <w:rsid w:val="00193D49"/>
    <w:pPr>
      <w:spacing w:before="100" w:beforeAutospacing="1" w:after="100" w:afterAutospacing="1"/>
    </w:pPr>
    <w:rPr>
      <w:rFonts w:ascii="Times New Roman" w:eastAsia="Times New Roman" w:hAnsi="Times New Roman" w:cs="Times New Roman"/>
      <w:szCs w:val="24"/>
      <w:lang w:val="en-US"/>
    </w:rPr>
  </w:style>
  <w:style w:type="character" w:styleId="Strong">
    <w:name w:val="Strong"/>
    <w:basedOn w:val="DefaultParagraphFont"/>
    <w:uiPriority w:val="22"/>
    <w:qFormat/>
    <w:rsid w:val="00193D49"/>
    <w:rPr>
      <w:b/>
      <w:bCs/>
    </w:rPr>
  </w:style>
  <w:style w:type="character" w:customStyle="1" w:styleId="apple-converted-space">
    <w:name w:val="apple-converted-space"/>
    <w:basedOn w:val="DefaultParagraphFont"/>
    <w:rsid w:val="00193D49"/>
  </w:style>
  <w:style w:type="character" w:styleId="FollowedHyperlink">
    <w:name w:val="FollowedHyperlink"/>
    <w:basedOn w:val="DefaultParagraphFont"/>
    <w:uiPriority w:val="99"/>
    <w:semiHidden/>
    <w:unhideWhenUsed/>
    <w:rsid w:val="007B7AA3"/>
    <w:rPr>
      <w:color w:val="800080" w:themeColor="followedHyperlink"/>
      <w:u w:val="single"/>
    </w:rPr>
  </w:style>
  <w:style w:type="paragraph" w:styleId="TOC3">
    <w:name w:val="toc 3"/>
    <w:basedOn w:val="Normal"/>
    <w:next w:val="Normal"/>
    <w:autoRedefine/>
    <w:uiPriority w:val="39"/>
    <w:unhideWhenUsed/>
    <w:rsid w:val="002E64C4"/>
    <w:pPr>
      <w:spacing w:after="100"/>
      <w:ind w:left="480"/>
    </w:pPr>
  </w:style>
  <w:style w:type="table" w:styleId="LightList">
    <w:name w:val="Light List"/>
    <w:basedOn w:val="TableNormal"/>
    <w:uiPriority w:val="61"/>
    <w:rsid w:val="00E0397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F25F1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DocumentMap">
    <w:name w:val="Document Map"/>
    <w:basedOn w:val="Normal"/>
    <w:link w:val="DocumentMapChar"/>
    <w:uiPriority w:val="99"/>
    <w:semiHidden/>
    <w:unhideWhenUsed/>
    <w:rsid w:val="003647F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647F3"/>
    <w:rPr>
      <w:rFonts w:ascii="Tahoma" w:hAnsi="Tahoma" w:cs="Tahoma"/>
      <w:sz w:val="16"/>
      <w:szCs w:val="16"/>
      <w:lang w:val="en-MY"/>
    </w:rPr>
  </w:style>
  <w:style w:type="table" w:styleId="LightShading">
    <w:name w:val="Light Shading"/>
    <w:basedOn w:val="TableNormal"/>
    <w:uiPriority w:val="60"/>
    <w:rsid w:val="00EE48B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0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9C9"/>
    <w:rPr>
      <w:sz w:val="24"/>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C4"/>
    <w:pPr>
      <w:spacing w:line="480" w:lineRule="auto"/>
      <w:jc w:val="both"/>
    </w:pPr>
    <w:rPr>
      <w:sz w:val="24"/>
      <w:lang w:val="ms-MY"/>
    </w:rPr>
  </w:style>
  <w:style w:type="paragraph" w:styleId="Heading1">
    <w:name w:val="heading 1"/>
    <w:basedOn w:val="Normal"/>
    <w:next w:val="Normal"/>
    <w:link w:val="Heading1Char"/>
    <w:uiPriority w:val="9"/>
    <w:qFormat/>
    <w:rsid w:val="00B1082A"/>
    <w:pPr>
      <w:keepNext/>
      <w:keepLines/>
      <w:spacing w:before="100" w:beforeAutospacing="1" w:after="100" w:afterAutospacing="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91048"/>
    <w:pPr>
      <w:keepNext/>
      <w:keepLines/>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6F185E"/>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2A"/>
    <w:rPr>
      <w:rFonts w:asciiTheme="majorHAnsi" w:eastAsiaTheme="majorEastAsia" w:hAnsiTheme="majorHAnsi" w:cstheme="majorBidi"/>
      <w:b/>
      <w:bCs/>
      <w:sz w:val="28"/>
      <w:szCs w:val="28"/>
      <w:lang w:val="en-MY"/>
    </w:rPr>
  </w:style>
  <w:style w:type="character" w:customStyle="1" w:styleId="Heading2Char">
    <w:name w:val="Heading 2 Char"/>
    <w:basedOn w:val="DefaultParagraphFont"/>
    <w:link w:val="Heading2"/>
    <w:uiPriority w:val="9"/>
    <w:rsid w:val="00491048"/>
    <w:rPr>
      <w:rFonts w:asciiTheme="majorHAnsi" w:eastAsiaTheme="majorEastAsia" w:hAnsiTheme="majorHAnsi" w:cstheme="majorBidi"/>
      <w:b/>
      <w:bCs/>
      <w:sz w:val="24"/>
      <w:szCs w:val="26"/>
      <w:lang w:val="en-MY"/>
    </w:rPr>
  </w:style>
  <w:style w:type="character" w:customStyle="1" w:styleId="Heading3Char">
    <w:name w:val="Heading 3 Char"/>
    <w:basedOn w:val="DefaultParagraphFont"/>
    <w:link w:val="Heading3"/>
    <w:uiPriority w:val="9"/>
    <w:rsid w:val="006F185E"/>
    <w:rPr>
      <w:rFonts w:asciiTheme="majorHAnsi" w:eastAsiaTheme="majorEastAsia" w:hAnsiTheme="majorHAnsi" w:cstheme="majorBidi"/>
      <w:b/>
      <w:bCs/>
      <w:sz w:val="24"/>
      <w:lang w:val="ms-MY"/>
    </w:rPr>
  </w:style>
  <w:style w:type="paragraph" w:styleId="FootnoteText">
    <w:name w:val="footnote text"/>
    <w:basedOn w:val="Normal"/>
    <w:link w:val="FootnoteTextChar"/>
    <w:uiPriority w:val="99"/>
    <w:unhideWhenUsed/>
    <w:rsid w:val="00C33E04"/>
    <w:pPr>
      <w:spacing w:after="0"/>
    </w:pPr>
    <w:rPr>
      <w:sz w:val="20"/>
      <w:szCs w:val="20"/>
    </w:rPr>
  </w:style>
  <w:style w:type="character" w:customStyle="1" w:styleId="FootnoteTextChar">
    <w:name w:val="Footnote Text Char"/>
    <w:basedOn w:val="DefaultParagraphFont"/>
    <w:link w:val="FootnoteText"/>
    <w:uiPriority w:val="99"/>
    <w:rsid w:val="00C33E04"/>
    <w:rPr>
      <w:sz w:val="20"/>
      <w:szCs w:val="20"/>
      <w:lang w:val="en-MY"/>
    </w:rPr>
  </w:style>
  <w:style w:type="character" w:styleId="FootnoteReference">
    <w:name w:val="footnote reference"/>
    <w:basedOn w:val="DefaultParagraphFont"/>
    <w:uiPriority w:val="99"/>
    <w:semiHidden/>
    <w:unhideWhenUsed/>
    <w:rsid w:val="00C33E04"/>
    <w:rPr>
      <w:vertAlign w:val="superscript"/>
    </w:rPr>
  </w:style>
  <w:style w:type="character" w:styleId="Hyperlink">
    <w:name w:val="Hyperlink"/>
    <w:basedOn w:val="DefaultParagraphFont"/>
    <w:uiPriority w:val="99"/>
    <w:unhideWhenUsed/>
    <w:rsid w:val="00C33E04"/>
    <w:rPr>
      <w:color w:val="0000FF" w:themeColor="hyperlink"/>
      <w:u w:val="single"/>
    </w:rPr>
  </w:style>
  <w:style w:type="paragraph" w:styleId="TOC1">
    <w:name w:val="toc 1"/>
    <w:basedOn w:val="Normal"/>
    <w:next w:val="Normal"/>
    <w:autoRedefine/>
    <w:uiPriority w:val="39"/>
    <w:unhideWhenUsed/>
    <w:rsid w:val="00C33E04"/>
    <w:pPr>
      <w:spacing w:after="100"/>
    </w:pPr>
  </w:style>
  <w:style w:type="paragraph" w:styleId="TOC2">
    <w:name w:val="toc 2"/>
    <w:basedOn w:val="Normal"/>
    <w:next w:val="Normal"/>
    <w:autoRedefine/>
    <w:uiPriority w:val="39"/>
    <w:unhideWhenUsed/>
    <w:rsid w:val="00C33E04"/>
    <w:pPr>
      <w:spacing w:after="100"/>
      <w:ind w:left="220"/>
    </w:pPr>
  </w:style>
  <w:style w:type="table" w:styleId="TableGrid">
    <w:name w:val="Table Grid"/>
    <w:basedOn w:val="TableNormal"/>
    <w:uiPriority w:val="59"/>
    <w:rsid w:val="00C33E04"/>
    <w:pPr>
      <w:spacing w:after="0" w:line="240" w:lineRule="auto"/>
    </w:pPr>
    <w:rPr>
      <w:lang w:val="en-M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rsid w:val="00C33E04"/>
    <w:rPr>
      <w:rFonts w:ascii="Courier New" w:eastAsia="Times New Roman" w:hAnsi="Courier New" w:cs="Courier New"/>
      <w:sz w:val="20"/>
      <w:szCs w:val="20"/>
    </w:rPr>
  </w:style>
  <w:style w:type="paragraph" w:customStyle="1" w:styleId="hed">
    <w:name w:val="hed"/>
    <w:basedOn w:val="Normal"/>
    <w:rsid w:val="00C33E04"/>
    <w:pPr>
      <w:spacing w:before="100" w:beforeAutospacing="1" w:after="100" w:afterAutospacing="1"/>
    </w:pPr>
    <w:rPr>
      <w:rFonts w:ascii="Arial" w:eastAsia="Arial Unicode MS" w:hAnsi="Arial" w:cs="Arial"/>
      <w:b/>
      <w:bCs/>
      <w:color w:val="000000"/>
      <w:szCs w:val="24"/>
      <w:lang w:val="en-US"/>
    </w:rPr>
  </w:style>
  <w:style w:type="paragraph" w:customStyle="1" w:styleId="Title2">
    <w:name w:val="Title 2"/>
    <w:basedOn w:val="Normal"/>
    <w:link w:val="Title2Char"/>
    <w:qFormat/>
    <w:rsid w:val="00C33E04"/>
    <w:pPr>
      <w:spacing w:line="360" w:lineRule="auto"/>
      <w:jc w:val="center"/>
    </w:pPr>
    <w:rPr>
      <w:b/>
      <w:bCs/>
      <w:sz w:val="28"/>
      <w:szCs w:val="24"/>
    </w:rPr>
  </w:style>
  <w:style w:type="character" w:customStyle="1" w:styleId="Title2Char">
    <w:name w:val="Title 2 Char"/>
    <w:basedOn w:val="DefaultParagraphFont"/>
    <w:link w:val="Title2"/>
    <w:rsid w:val="00C33E04"/>
    <w:rPr>
      <w:b/>
      <w:bCs/>
      <w:sz w:val="28"/>
      <w:szCs w:val="24"/>
      <w:lang w:val="en-MY"/>
    </w:rPr>
  </w:style>
  <w:style w:type="paragraph" w:styleId="Footer">
    <w:name w:val="footer"/>
    <w:basedOn w:val="Normal"/>
    <w:link w:val="FooterChar"/>
    <w:uiPriority w:val="99"/>
    <w:unhideWhenUsed/>
    <w:rsid w:val="00C33E04"/>
    <w:pPr>
      <w:tabs>
        <w:tab w:val="center" w:pos="4153"/>
        <w:tab w:val="right" w:pos="8306"/>
      </w:tabs>
      <w:spacing w:after="0"/>
    </w:pPr>
  </w:style>
  <w:style w:type="character" w:customStyle="1" w:styleId="FooterChar">
    <w:name w:val="Footer Char"/>
    <w:basedOn w:val="DefaultParagraphFont"/>
    <w:link w:val="Footer"/>
    <w:uiPriority w:val="99"/>
    <w:rsid w:val="00C33E04"/>
    <w:rPr>
      <w:sz w:val="24"/>
      <w:lang w:val="en-MY"/>
    </w:rPr>
  </w:style>
  <w:style w:type="paragraph" w:styleId="ListParagraph">
    <w:name w:val="List Paragraph"/>
    <w:basedOn w:val="Normal"/>
    <w:uiPriority w:val="34"/>
    <w:qFormat/>
    <w:rsid w:val="00C33E04"/>
    <w:pPr>
      <w:ind w:left="720"/>
      <w:contextualSpacing/>
    </w:pPr>
  </w:style>
  <w:style w:type="paragraph" w:styleId="Caption">
    <w:name w:val="caption"/>
    <w:basedOn w:val="Normal"/>
    <w:next w:val="Normal"/>
    <w:uiPriority w:val="35"/>
    <w:unhideWhenUsed/>
    <w:qFormat/>
    <w:rsid w:val="00F25F16"/>
    <w:pPr>
      <w:jc w:val="center"/>
    </w:pPr>
    <w:rPr>
      <w:b/>
      <w:bCs/>
      <w:sz w:val="18"/>
      <w:szCs w:val="18"/>
    </w:rPr>
  </w:style>
  <w:style w:type="paragraph" w:styleId="BalloonText">
    <w:name w:val="Balloon Text"/>
    <w:basedOn w:val="Normal"/>
    <w:link w:val="BalloonTextChar"/>
    <w:uiPriority w:val="99"/>
    <w:semiHidden/>
    <w:unhideWhenUsed/>
    <w:rsid w:val="00C33E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E04"/>
    <w:rPr>
      <w:rFonts w:ascii="Tahoma" w:hAnsi="Tahoma" w:cs="Tahoma"/>
      <w:sz w:val="16"/>
      <w:szCs w:val="16"/>
      <w:lang w:val="en-MY"/>
    </w:rPr>
  </w:style>
  <w:style w:type="paragraph" w:styleId="NormalWeb">
    <w:name w:val="Normal (Web)"/>
    <w:basedOn w:val="Normal"/>
    <w:uiPriority w:val="99"/>
    <w:unhideWhenUsed/>
    <w:rsid w:val="00193D49"/>
    <w:pPr>
      <w:spacing w:before="100" w:beforeAutospacing="1" w:after="100" w:afterAutospacing="1"/>
    </w:pPr>
    <w:rPr>
      <w:rFonts w:ascii="Times New Roman" w:eastAsia="Times New Roman" w:hAnsi="Times New Roman" w:cs="Times New Roman"/>
      <w:szCs w:val="24"/>
      <w:lang w:val="en-US"/>
    </w:rPr>
  </w:style>
  <w:style w:type="character" w:styleId="Strong">
    <w:name w:val="Strong"/>
    <w:basedOn w:val="DefaultParagraphFont"/>
    <w:uiPriority w:val="22"/>
    <w:qFormat/>
    <w:rsid w:val="00193D49"/>
    <w:rPr>
      <w:b/>
      <w:bCs/>
    </w:rPr>
  </w:style>
  <w:style w:type="character" w:customStyle="1" w:styleId="apple-converted-space">
    <w:name w:val="apple-converted-space"/>
    <w:basedOn w:val="DefaultParagraphFont"/>
    <w:rsid w:val="00193D49"/>
  </w:style>
  <w:style w:type="character" w:styleId="FollowedHyperlink">
    <w:name w:val="FollowedHyperlink"/>
    <w:basedOn w:val="DefaultParagraphFont"/>
    <w:uiPriority w:val="99"/>
    <w:semiHidden/>
    <w:unhideWhenUsed/>
    <w:rsid w:val="007B7AA3"/>
    <w:rPr>
      <w:color w:val="800080" w:themeColor="followedHyperlink"/>
      <w:u w:val="single"/>
    </w:rPr>
  </w:style>
  <w:style w:type="paragraph" w:styleId="TOC3">
    <w:name w:val="toc 3"/>
    <w:basedOn w:val="Normal"/>
    <w:next w:val="Normal"/>
    <w:autoRedefine/>
    <w:uiPriority w:val="39"/>
    <w:unhideWhenUsed/>
    <w:rsid w:val="002E64C4"/>
    <w:pPr>
      <w:spacing w:after="100"/>
      <w:ind w:left="480"/>
    </w:pPr>
  </w:style>
  <w:style w:type="table" w:styleId="LightList">
    <w:name w:val="Light List"/>
    <w:basedOn w:val="TableNormal"/>
    <w:uiPriority w:val="61"/>
    <w:rsid w:val="00E0397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F25F1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DocumentMap">
    <w:name w:val="Document Map"/>
    <w:basedOn w:val="Normal"/>
    <w:link w:val="DocumentMapChar"/>
    <w:uiPriority w:val="99"/>
    <w:semiHidden/>
    <w:unhideWhenUsed/>
    <w:rsid w:val="003647F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647F3"/>
    <w:rPr>
      <w:rFonts w:ascii="Tahoma" w:hAnsi="Tahoma" w:cs="Tahoma"/>
      <w:sz w:val="16"/>
      <w:szCs w:val="16"/>
      <w:lang w:val="en-MY"/>
    </w:rPr>
  </w:style>
  <w:style w:type="table" w:styleId="LightShading">
    <w:name w:val="Light Shading"/>
    <w:basedOn w:val="TableNormal"/>
    <w:uiPriority w:val="60"/>
    <w:rsid w:val="00EE48B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0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9C9"/>
    <w:rPr>
      <w:sz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69272">
      <w:bodyDiv w:val="1"/>
      <w:marLeft w:val="0"/>
      <w:marRight w:val="0"/>
      <w:marTop w:val="0"/>
      <w:marBottom w:val="0"/>
      <w:divBdr>
        <w:top w:val="none" w:sz="0" w:space="0" w:color="auto"/>
        <w:left w:val="none" w:sz="0" w:space="0" w:color="auto"/>
        <w:bottom w:val="none" w:sz="0" w:space="0" w:color="auto"/>
        <w:right w:val="none" w:sz="0" w:space="0" w:color="auto"/>
      </w:divBdr>
    </w:div>
    <w:div w:id="343479536">
      <w:bodyDiv w:val="1"/>
      <w:marLeft w:val="0"/>
      <w:marRight w:val="0"/>
      <w:marTop w:val="0"/>
      <w:marBottom w:val="0"/>
      <w:divBdr>
        <w:top w:val="none" w:sz="0" w:space="0" w:color="auto"/>
        <w:left w:val="none" w:sz="0" w:space="0" w:color="auto"/>
        <w:bottom w:val="none" w:sz="0" w:space="0" w:color="auto"/>
        <w:right w:val="none" w:sz="0" w:space="0" w:color="auto"/>
      </w:divBdr>
    </w:div>
    <w:div w:id="1779448413">
      <w:bodyDiv w:val="1"/>
      <w:marLeft w:val="0"/>
      <w:marRight w:val="0"/>
      <w:marTop w:val="0"/>
      <w:marBottom w:val="0"/>
      <w:divBdr>
        <w:top w:val="none" w:sz="0" w:space="0" w:color="auto"/>
        <w:left w:val="none" w:sz="0" w:space="0" w:color="auto"/>
        <w:bottom w:val="none" w:sz="0" w:space="0" w:color="auto"/>
        <w:right w:val="none" w:sz="0" w:space="0" w:color="auto"/>
      </w:divBdr>
      <w:divsChild>
        <w:div w:id="32076005">
          <w:marLeft w:val="907"/>
          <w:marRight w:val="0"/>
          <w:marTop w:val="96"/>
          <w:marBottom w:val="0"/>
          <w:divBdr>
            <w:top w:val="none" w:sz="0" w:space="0" w:color="auto"/>
            <w:left w:val="none" w:sz="0" w:space="0" w:color="auto"/>
            <w:bottom w:val="none" w:sz="0" w:space="0" w:color="auto"/>
            <w:right w:val="none" w:sz="0" w:space="0" w:color="auto"/>
          </w:divBdr>
        </w:div>
        <w:div w:id="150293596">
          <w:marLeft w:val="432"/>
          <w:marRight w:val="0"/>
          <w:marTop w:val="106"/>
          <w:marBottom w:val="0"/>
          <w:divBdr>
            <w:top w:val="none" w:sz="0" w:space="0" w:color="auto"/>
            <w:left w:val="none" w:sz="0" w:space="0" w:color="auto"/>
            <w:bottom w:val="none" w:sz="0" w:space="0" w:color="auto"/>
            <w:right w:val="none" w:sz="0" w:space="0" w:color="auto"/>
          </w:divBdr>
        </w:div>
        <w:div w:id="297882032">
          <w:marLeft w:val="432"/>
          <w:marRight w:val="0"/>
          <w:marTop w:val="106"/>
          <w:marBottom w:val="0"/>
          <w:divBdr>
            <w:top w:val="none" w:sz="0" w:space="0" w:color="auto"/>
            <w:left w:val="none" w:sz="0" w:space="0" w:color="auto"/>
            <w:bottom w:val="none" w:sz="0" w:space="0" w:color="auto"/>
            <w:right w:val="none" w:sz="0" w:space="0" w:color="auto"/>
          </w:divBdr>
        </w:div>
        <w:div w:id="680862092">
          <w:marLeft w:val="432"/>
          <w:marRight w:val="0"/>
          <w:marTop w:val="106"/>
          <w:marBottom w:val="0"/>
          <w:divBdr>
            <w:top w:val="none" w:sz="0" w:space="0" w:color="auto"/>
            <w:left w:val="none" w:sz="0" w:space="0" w:color="auto"/>
            <w:bottom w:val="none" w:sz="0" w:space="0" w:color="auto"/>
            <w:right w:val="none" w:sz="0" w:space="0" w:color="auto"/>
          </w:divBdr>
        </w:div>
        <w:div w:id="733965931">
          <w:marLeft w:val="432"/>
          <w:marRight w:val="0"/>
          <w:marTop w:val="106"/>
          <w:marBottom w:val="0"/>
          <w:divBdr>
            <w:top w:val="none" w:sz="0" w:space="0" w:color="auto"/>
            <w:left w:val="none" w:sz="0" w:space="0" w:color="auto"/>
            <w:bottom w:val="none" w:sz="0" w:space="0" w:color="auto"/>
            <w:right w:val="none" w:sz="0" w:space="0" w:color="auto"/>
          </w:divBdr>
        </w:div>
        <w:div w:id="850951648">
          <w:marLeft w:val="907"/>
          <w:marRight w:val="0"/>
          <w:marTop w:val="96"/>
          <w:marBottom w:val="0"/>
          <w:divBdr>
            <w:top w:val="none" w:sz="0" w:space="0" w:color="auto"/>
            <w:left w:val="none" w:sz="0" w:space="0" w:color="auto"/>
            <w:bottom w:val="none" w:sz="0" w:space="0" w:color="auto"/>
            <w:right w:val="none" w:sz="0" w:space="0" w:color="auto"/>
          </w:divBdr>
        </w:div>
        <w:div w:id="882254041">
          <w:marLeft w:val="907"/>
          <w:marRight w:val="0"/>
          <w:marTop w:val="96"/>
          <w:marBottom w:val="0"/>
          <w:divBdr>
            <w:top w:val="none" w:sz="0" w:space="0" w:color="auto"/>
            <w:left w:val="none" w:sz="0" w:space="0" w:color="auto"/>
            <w:bottom w:val="none" w:sz="0" w:space="0" w:color="auto"/>
            <w:right w:val="none" w:sz="0" w:space="0" w:color="auto"/>
          </w:divBdr>
        </w:div>
        <w:div w:id="896818434">
          <w:marLeft w:val="432"/>
          <w:marRight w:val="0"/>
          <w:marTop w:val="106"/>
          <w:marBottom w:val="0"/>
          <w:divBdr>
            <w:top w:val="none" w:sz="0" w:space="0" w:color="auto"/>
            <w:left w:val="none" w:sz="0" w:space="0" w:color="auto"/>
            <w:bottom w:val="none" w:sz="0" w:space="0" w:color="auto"/>
            <w:right w:val="none" w:sz="0" w:space="0" w:color="auto"/>
          </w:divBdr>
        </w:div>
        <w:div w:id="927883936">
          <w:marLeft w:val="907"/>
          <w:marRight w:val="0"/>
          <w:marTop w:val="96"/>
          <w:marBottom w:val="0"/>
          <w:divBdr>
            <w:top w:val="none" w:sz="0" w:space="0" w:color="auto"/>
            <w:left w:val="none" w:sz="0" w:space="0" w:color="auto"/>
            <w:bottom w:val="none" w:sz="0" w:space="0" w:color="auto"/>
            <w:right w:val="none" w:sz="0" w:space="0" w:color="auto"/>
          </w:divBdr>
        </w:div>
        <w:div w:id="2119987261">
          <w:marLeft w:val="90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www.hamdardfoundation.org/" TargetMode="Externa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_rels/footnotes.xml.rels><?xml version="1.0" encoding="UTF-8" standalone="yes"?>
<Relationships xmlns="http://schemas.openxmlformats.org/package/2006/relationships"><Relationship Id="rId1" Type="http://schemas.openxmlformats.org/officeDocument/2006/relationships/hyperlink" Target="mailto:asharaf@usim.edu.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Traditional Arabic"/>
      </a:majorFont>
      <a:minorFont>
        <a:latin typeface="Times New Roman"/>
        <a:ea typeface=""/>
        <a:cs typeface="Traditional Arabic"/>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2DF4EA-B602-4073-A142-D13A6FEAC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24</Pages>
  <Words>8125</Words>
  <Characters>46319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2014-03-04T03:20:00Z</dcterms:created>
  <dcterms:modified xsi:type="dcterms:W3CDTF">2017-08-18T08:05:00Z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d3430ff9-9554-3ea4-abaa-a8d52fdee0c8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