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Guidance: Jurisdiction-Aware Guest Acknowledgment Template</w:t>
      </w:r>
    </w:p>
    <w:p>
      <w:pPr>
        <w:pStyle w:val="MdParagraph"/>
      </w:pPr>
      <w:r>
        <w:rPr>
          <w:rStyle w:val="MdStrong"/>
          <w:b/>
          <w:bCs/>
        </w:rPr>
        <w:t xml:space="preserve">Date:</w:t>
      </w:r>
      <w:r>
        <w:t xml:space="preserve"> March 3, 2026</w:t>
      </w:r>
    </w:p>
    <w:p>
      <w:pPr>
        <w:pStyle w:val="MdSpace"/>
        <w:spacing w:before="0" w:after="60"/>
      </w:pPr>
    </w:p>
    <w:p>
      <w:pPr>
        <w:pStyle w:val="Heading2"/>
        <w:pStyle w:val="MdHeading2"/>
      </w:pPr>
      <w:r>
        <w:t xml:space="preserve">Introduction</w:t>
      </w:r>
    </w:p>
    <w:p>
      <w:pPr>
        <w:pStyle w:val="MdParagraph"/>
      </w:pPr>
      <w:r>
        <w:t xml:space="preserve">This document provides comprehensive guidance for constructing a jurisdiction-aware Guest Acknowledgment template for the DocuStay platform. The primary objective is to create a legally sound, clear, and enforceable document that formalizes a guest's status without inadvertently creating a tenancy. This guidance incorporates research on state-specific laws for California, Florida, and New York, and addresses the key questions raised regarding template structure, legal framing, data integration, and risk mitigation.</w:t>
      </w:r>
    </w:p>
    <w:p>
      <w:pPr>
        <w:pStyle w:val="MdSpace"/>
        <w:spacing w:before="0" w:after="60"/>
      </w:pPr>
    </w:p>
    <w:p>
      <w:pPr>
        <w:pStyle w:val="Heading2"/>
        <w:pStyle w:val="MdHeading2"/>
      </w:pPr>
      <w:r>
        <w:t xml:space="preserve">Part 1: Template Fundamentals &amp; Legal Framing</w:t>
      </w:r>
    </w:p>
    <w:p>
      <w:pPr>
        <w:pStyle w:val="MdParagraph"/>
      </w:pPr>
      <w:r>
        <w:t xml:space="preserve">This section addresses the foundational legal and structural questions for the guest acknowledgment process.</w:t>
      </w:r>
    </w:p>
    <w:p>
      <w:pPr>
        <w:pStyle w:val="MdSpace"/>
        <w:spacing w:before="0" w:after="60"/>
      </w:pPr>
    </w:p>
    <w:p>
      <w:pPr>
        <w:pStyle w:val="Heading3"/>
        <w:pStyle w:val="MdHeading3"/>
      </w:pPr>
      <w:r>
        <w:t xml:space="preserve">1.1. Template Title &amp; Tone: "Guest Acknowledgment" vs. "Agreement"</w:t>
      </w:r>
    </w:p>
    <w:p>
      <w:pPr>
        <w:pStyle w:val="MdParagraph"/>
      </w:pPr>
      <w:r>
        <w:t xml:space="preserve">The recommended title is </w:t>
      </w:r>
      <w:r>
        <w:rPr>
          <w:rStyle w:val="MdStrong"/>
          <w:b/>
          <w:bCs/>
        </w:rPr>
        <w:t xml:space="preserve">"Guest Acknowledgment and Revocable License to Occupy."</w:t>
      </w:r>
      <w:r>
        <w:t xml:space="preserve"> This title is deliberate and serves several key legal purposes:</w:t>
      </w:r>
    </w:p>
    <w:p>
      <w:pPr>
        <w:pStyle w:val="MdSpace"/>
        <w:spacing w:before="0" w:after="60"/>
      </w:pPr>
    </w:p>
    <w:p>
      <w:pPr>
        <w:pStyle w:val="MdListItem"/>
        <w:numPr>
          <w:ilvl w:val="0"/>
          <w:numId w:val="2"/>
        </w:numPr>
      </w:pPr>
      <w:r>
        <w:rPr>
          <w:rStyle w:val="MdStrong"/>
          <w:b/>
          <w:bCs/>
        </w:rPr>
        <w:t xml:space="preserve">"Acknowledgment":</w:t>
      </w:r>
      <w:r>
        <w:t xml:space="preserve"> This term is preferable to "Agreement" or "Contract" because it frames the document as a confirmation of existing facts and a recognition of the owner's pre-existing authority. A contract implies a bargained-for exchange and the creation of new rights and obligations, which can be a step towards establishing a landlord-tenant relationship. An acknowledgment, in contrast, is a formal declaration before an authorized officer (in this case, the platform acting as agent) that the execution of the instrument is a free act and deed. It verifies the guest's understanding and consent to the stated terms, rather than creating a new set of contractual rights [1].</w:t>
      </w:r>
    </w:p>
    <w:p>
      <w:pPr>
        <w:pStyle w:val="MdListItem"/>
        <w:numPr>
          <w:ilvl w:val="0"/>
          <w:numId w:val="2"/>
        </w:numPr>
      </w:pPr>
      <w:r>
        <w:rPr>
          <w:rStyle w:val="MdStrong"/>
          <w:b/>
          <w:bCs/>
        </w:rPr>
        <w:t xml:space="preserve">"Revocable License":</w:t>
      </w:r>
      <w:r>
        <w:t xml:space="preserve"> This explicitly defines the legal nature of the guest's right to be on the property. A license is a personal privilege to do some particular act or series of acts on land without possessing any estate or interest therein, and is ordinarily revocable at the will of the licensor [2]. By defining the guest's stay as a revocable license, the owner retains the right to revoke permission to occupy at any time, a crucial distinction from a tenancy, which grants the tenant exclusive possession and can only be terminated through a formal eviction process.</w:t>
      </w:r>
    </w:p>
    <w:p>
      <w:pPr>
        <w:pStyle w:val="MdSpace"/>
        <w:spacing w:before="0" w:after="60"/>
      </w:pPr>
    </w:p>
    <w:p>
      <w:pPr>
        <w:pStyle w:val="MdParagraph"/>
      </w:pPr>
      <w:r>
        <w:t xml:space="preserve">The </w:t>
      </w:r>
      <w:r>
        <w:rPr>
          <w:rStyle w:val="MdStrong"/>
          <w:b/>
          <w:bCs/>
        </w:rPr>
        <w:t xml:space="preserve">tone</w:t>
      </w:r>
      <w:r>
        <w:t xml:space="preserve"> of the document should be clear, direct, and informational, not adversarial. It should educate the guest on the limits of their authorization while confirming their consent to those limits.</w:t>
      </w:r>
    </w:p>
    <w:p>
      <w:pPr>
        <w:pStyle w:val="MdSpace"/>
        <w:spacing w:before="0" w:after="60"/>
      </w:pPr>
    </w:p>
    <w:p>
      <w:pPr>
        <w:pStyle w:val="Heading3"/>
        <w:pStyle w:val="MdHeading3"/>
      </w:pPr>
      <w:r>
        <w:t xml:space="preserve">1.2. Referencing the Master POA</w:t>
      </w:r>
    </w:p>
    <w:p>
      <w:pPr>
        <w:pStyle w:val="MdParagraph"/>
      </w:pPr>
      <w:r>
        <w:t xml:space="preserve">The template </w:t>
      </w:r>
      <w:r>
        <w:rPr>
          <w:rStyle w:val="MdStrong"/>
          <w:b/>
          <w:bCs/>
        </w:rPr>
        <w:t xml:space="preserve">must</w:t>
      </w:r>
      <w:r>
        <w:t xml:space="preserve"> reference the authority under which DocuStay is acting. This is essential for transparency and to legally establish the platform's role as a third-party record-keeper. The reference should be clear but concise.</w:t>
      </w:r>
    </w:p>
    <w:p>
      <w:pPr>
        <w:pStyle w:val="MdSpace"/>
        <w:spacing w:before="0" w:after="60"/>
      </w:pPr>
    </w:p>
    <w:p>
      <w:pPr>
        <w:pStyle w:val="MdParagraph"/>
      </w:pPr>
      <w:r>
        <w:rPr>
          <w:rStyle w:val="MdStrong"/>
          <w:b/>
          <w:bCs/>
        </w:rPr>
        <w:t xml:space="preserve">Recommended Language:</w:t>
      </w:r>
    </w:p>
    <w:p>
      <w:pPr>
        <w:pStyle w:val="MdSpace"/>
        <w:spacing w:before="0" w:after="60"/>
      </w:pPr>
    </w:p>
    <w:p>
      <w:pPr>
        <w:pStyle w:val="MdBlockquote"/>
      </w:pPr>
      <w:r>
        <w:t xml:space="preserve">"You acknowledge that the Property Owner has granted a limited Power of Attorney to DocuStay, a third-party documentation platform, authorizing it to maintain records of property status, including your occupancy as a guest."</w:t>
      </w:r>
    </w:p>
    <w:p>
      <w:pPr>
        <w:pStyle w:val="MdSpace"/>
        <w:spacing w:before="0" w:after="60"/>
      </w:pPr>
    </w:p>
    <w:p>
      <w:pPr>
        <w:pStyle w:val="MdParagraph"/>
      </w:pPr>
      <w:r>
        <w:t xml:space="preserve">This wording achieves the following:</w:t>
      </w:r>
    </w:p>
    <w:p>
      <w:pPr>
        <w:pStyle w:val="MdSpace"/>
        <w:spacing w:before="0" w:after="60"/>
      </w:pPr>
    </w:p>
    <w:p>
      <w:pPr>
        <w:pStyle w:val="MdListItem"/>
        <w:numPr>
          <w:ilvl w:val="0"/>
          <w:numId w:val="2"/>
        </w:numPr>
      </w:pPr>
      <w:r>
        <w:t xml:space="preserve">It clarifies that DocuStay is a </w:t>
      </w:r>
      <w:r>
        <w:rPr>
          <w:rStyle w:val="MdStrong"/>
          <w:b/>
          <w:bCs/>
        </w:rPr>
        <w:t xml:space="preserve">third-party platform</w:t>
      </w:r>
      <w:r>
        <w:t xml:space="preserve">, not the property owner or a legal representative.</w:t>
      </w:r>
    </w:p>
    <w:p>
      <w:pPr>
        <w:pStyle w:val="MdListItem"/>
        <w:numPr>
          <w:ilvl w:val="0"/>
          <w:numId w:val="2"/>
        </w:numPr>
      </w:pPr>
      <w:r>
        <w:t xml:space="preserve">It specifies the </w:t>
      </w:r>
      <w:r>
        <w:rPr>
          <w:rStyle w:val="MdStrong"/>
          <w:b/>
          <w:bCs/>
        </w:rPr>
        <w:t xml:space="preserve">source of authority</w:t>
      </w:r>
      <w:r>
        <w:t xml:space="preserve"> (the Power of Attorney from the owner).</w:t>
      </w:r>
    </w:p>
    <w:p>
      <w:pPr>
        <w:pStyle w:val="MdListItem"/>
        <w:numPr>
          <w:ilvl w:val="0"/>
          <w:numId w:val="2"/>
        </w:numPr>
      </w:pPr>
      <w:r>
        <w:t xml:space="preserve">It defines the </w:t>
      </w:r>
      <w:r>
        <w:rPr>
          <w:rStyle w:val="MdStrong"/>
          <w:b/>
          <w:bCs/>
        </w:rPr>
        <w:t xml:space="preserve">scope of authority</w:t>
      </w:r>
      <w:r>
        <w:t xml:space="preserve"> (to document property status).</w:t>
      </w:r>
    </w:p>
    <w:p>
      <w:pPr>
        <w:pStyle w:val="MdSpace"/>
        <w:spacing w:before="0" w:after="60"/>
      </w:pPr>
    </w:p>
    <w:p>
      <w:pPr>
        <w:pStyle w:val="MdParagraph"/>
      </w:pPr>
      <w:r>
        <w:t xml:space="preserve">There is no need to mention the POA by its specific file name or provide a copy within the guest acknowledgment. The key is to disclose the existence and purpose of the delegated authority.</w:t>
      </w:r>
    </w:p>
    <w:p>
      <w:pPr>
        <w:pStyle w:val="MdSpace"/>
        <w:spacing w:before="0" w:after="60"/>
      </w:pPr>
    </w:p>
    <w:p>
      <w:pPr>
        <w:pStyle w:val="Heading3"/>
        <w:pStyle w:val="MdHeading3"/>
      </w:pPr>
      <w:r>
        <w:t xml:space="preserve">1.3. Renewal &amp; Expiration Logic</w:t>
      </w:r>
    </w:p>
    <w:p>
      <w:pPr>
        <w:pStyle w:val="MdParagraph"/>
      </w:pPr>
      <w:r>
        <w:t xml:space="preserve">The proposed system of issuing a new acknowledgment for each extension is legally sound and, in fact, a recommended best practice. Having a series of discrete, date-limited acknowledgments reinforces the non-continuous, temporary nature of the guest's stay.</w:t>
      </w:r>
    </w:p>
    <w:p>
      <w:pPr>
        <w:pStyle w:val="MdSpace"/>
        <w:spacing w:before="0" w:after="60"/>
      </w:pPr>
    </w:p>
    <w:p>
      <w:pPr>
        <w:pStyle w:val="MdListItem"/>
        <w:numPr>
          <w:ilvl w:val="0"/>
          <w:numId w:val="2"/>
        </w:numPr>
      </w:pPr>
      <w:r>
        <w:rPr>
          <w:rStyle w:val="MdStrong"/>
          <w:b/>
          <w:bCs/>
        </w:rPr>
        <w:t xml:space="preserve">Clarity over Ambiguity:</w:t>
      </w:r>
      <w:r>
        <w:t xml:space="preserve"> Each new acknowledgment creates a clear, time-stamped record of a new, distinct period of authorized occupancy. This prevents a guest from arguing that a single, long, and continuous stay has established tenancy.</w:t>
      </w:r>
    </w:p>
    <w:p>
      <w:pPr>
        <w:pStyle w:val="MdListItem"/>
        <w:numPr>
          <w:ilvl w:val="0"/>
          <w:numId w:val="2"/>
        </w:numPr>
      </w:pPr>
      <w:r>
        <w:rPr>
          <w:rStyle w:val="MdStrong"/>
          <w:b/>
          <w:bCs/>
        </w:rPr>
        <w:t xml:space="preserve">Reinforces License, Not Tenancy:</w:t>
      </w:r>
      <w:r>
        <w:t xml:space="preserve"> A tenant typically has a single lease for a continuous period. A guest with a series of revocable licenses has a much weaker claim to tenancy rights.</w:t>
      </w:r>
    </w:p>
    <w:p>
      <w:pPr>
        <w:pStyle w:val="MdListItem"/>
        <w:numPr>
          <w:ilvl w:val="0"/>
          <w:numId w:val="2"/>
        </w:numPr>
      </w:pPr>
      <w:r>
        <w:rPr>
          <w:rStyle w:val="MdStrong"/>
          <w:b/>
          <w:bCs/>
        </w:rPr>
        <w:t xml:space="preserve">Audit Trail:</w:t>
      </w:r>
      <w:r>
        <w:t xml:space="preserve"> Maintaining a history of expired and active tokens provides a clear and defensible audit trail of the guest's occupancy history, which can be crucial in any potential dispute.</w:t>
      </w:r>
    </w:p>
    <w:p>
      <w:pPr>
        <w:pStyle w:val="MdSpace"/>
        <w:spacing w:before="0" w:after="60"/>
      </w:pPr>
    </w:p>
    <w:p>
      <w:pPr>
        <w:pStyle w:val="Heading3"/>
        <w:pStyle w:val="MdHeading3"/>
      </w:pPr>
      <w:r>
        <w:t xml:space="preserve">1.4. Revocation Logic</w:t>
      </w:r>
    </w:p>
    <w:p>
      <w:pPr>
        <w:pStyle w:val="MdParagraph"/>
      </w:pPr>
      <w:r>
        <w:t xml:space="preserve">The acknowledgment </w:t>
      </w:r>
      <w:r>
        <w:rPr>
          <w:rStyle w:val="MdStrong"/>
          <w:b/>
          <w:bCs/>
        </w:rPr>
        <w:t xml:space="preserve">must</w:t>
      </w:r>
      <w:r>
        <w:t xml:space="preserve"> explicitly state that the license to occupy is revocable at the owner's discretion.</w:t>
      </w:r>
    </w:p>
    <w:p>
      <w:pPr>
        <w:pStyle w:val="MdSpace"/>
        <w:spacing w:before="0" w:after="60"/>
      </w:pPr>
    </w:p>
    <w:p>
      <w:pPr>
        <w:pStyle w:val="MdParagraph"/>
      </w:pPr>
      <w:r>
        <w:rPr>
          <w:rStyle w:val="MdStrong"/>
          <w:b/>
          <w:bCs/>
        </w:rPr>
        <w:t xml:space="preserve">Recommended Language:</w:t>
      </w:r>
    </w:p>
    <w:p>
      <w:pPr>
        <w:pStyle w:val="MdSpace"/>
        <w:spacing w:before="0" w:after="60"/>
      </w:pPr>
    </w:p>
    <w:p>
      <w:pPr>
        <w:pStyle w:val="MdBlockquote"/>
      </w:pPr>
      <w:r>
        <w:t xml:space="preserve">"You acknowledge that this authorization is a revocable license, and the Property Owner retains the right to revoke this license and terminate your occupancy at any time, for any reason, without notice."</w:t>
      </w:r>
    </w:p>
    <w:p>
      <w:pPr>
        <w:pStyle w:val="MdSpace"/>
        <w:spacing w:before="0" w:after="60"/>
      </w:pPr>
    </w:p>
    <w:p>
      <w:pPr>
        <w:pStyle w:val="MdParagraph"/>
      </w:pPr>
      <w:r>
        <w:t xml:space="preserve">When a token is revoked in the system, the guest's dashboard should clearly reflect this status. The dashboard should display:</w:t>
      </w:r>
    </w:p>
    <w:p>
      <w:pPr>
        <w:pStyle w:val="MdSpace"/>
        <w:spacing w:before="0" w:after="60"/>
      </w:pPr>
    </w:p>
    <w:p>
      <w:pPr>
        <w:pStyle w:val="MdListItem"/>
        <w:numPr>
          <w:ilvl w:val="0"/>
          <w:numId w:val="2"/>
        </w:numPr>
      </w:pPr>
      <w:r>
        <w:rPr>
          <w:rStyle w:val="MdStrong"/>
          <w:b/>
          <w:bCs/>
        </w:rPr>
        <w:t xml:space="preserve">Status:</w:t>
      </w:r>
      <w:r>
        <w:t xml:space="preserve"> "Authorization Revoked"</w:t>
      </w:r>
    </w:p>
    <w:p>
      <w:pPr>
        <w:pStyle w:val="MdListItem"/>
        <w:numPr>
          <w:ilvl w:val="0"/>
          <w:numId w:val="2"/>
        </w:numPr>
      </w:pPr>
      <w:r>
        <w:rPr>
          <w:rStyle w:val="MdStrong"/>
          <w:b/>
          <w:bCs/>
        </w:rPr>
        <w:t xml:space="preserve">Effective Date:</w:t>
      </w:r>
      <w:r>
        <w:t xml:space="preserve"> The date and time the revocation took effect.</w:t>
      </w:r>
    </w:p>
    <w:p>
      <w:pPr>
        <w:pStyle w:val="MdListItem"/>
        <w:numPr>
          <w:ilvl w:val="0"/>
          <w:numId w:val="2"/>
        </w:numPr>
      </w:pPr>
      <w:r>
        <w:rPr>
          <w:rStyle w:val="MdStrong"/>
          <w:b/>
          <w:bCs/>
        </w:rPr>
        <w:t xml:space="preserve">Message:</w:t>
      </w:r>
      <w:r>
        <w:t xml:space="preserve"> "The Property Owner has revoked your authorization to occupy the property. You are required to vacate the premises immediately."</w:t>
      </w:r>
    </w:p>
    <w:p>
      <w:pPr>
        <w:pStyle w:val="MdSpace"/>
        <w:spacing w:before="0" w:after="60"/>
      </w:pPr>
    </w:p>
    <w:p>
      <w:pPr>
        <w:pStyle w:val="MdParagraph"/>
      </w:pPr>
      <w:r>
        <w:t xml:space="preserve">This provides a clear, unambiguous record of the revocation for both the guest and the owner.</w:t>
      </w:r>
    </w:p>
    <w:p>
      <w:pPr>
        <w:pStyle w:val="MdSpace"/>
        <w:spacing w:before="0" w:after="60"/>
      </w:pPr>
    </w:p>
    <w:p>
      <w:pPr>
        <w:pStyle w:val="Heading2"/>
        <w:pStyle w:val="MdHeading2"/>
      </w:pPr>
      <w:r>
        <w:t xml:space="preserve">Part 2: State-Specific Template Structures &amp; Language</w:t>
      </w:r>
    </w:p>
    <w:p>
      <w:pPr>
        <w:pStyle w:val="MdParagraph"/>
      </w:pPr>
      <w:r>
        <w:t xml:space="preserve">This section provides analysis and sample templates for California, Florida, and New York. The core structure of the acknowledgment remains consistent, but key clauses are modified to reflect the specific legal landscape of each jurisdiction.</w:t>
      </w:r>
    </w:p>
    <w:p>
      <w:pPr>
        <w:pStyle w:val="MdSpace"/>
        <w:spacing w:before="0" w:after="60"/>
      </w:pPr>
    </w:p>
    <w:p>
      <w:pPr>
        <w:pStyle w:val="Heading3"/>
        <w:pStyle w:val="MdHeading3"/>
      </w:pPr>
      <w:r>
        <w:t xml:space="preserve">2.1. California</w:t>
      </w:r>
    </w:p>
    <w:p>
      <w:pPr>
        <w:pStyle w:val="Heading4"/>
        <w:pStyle w:val="MdHeading4"/>
      </w:pPr>
      <w:r>
        <w:t xml:space="preserve">Legal Context</w:t>
      </w:r>
    </w:p>
    <w:p>
      <w:pPr>
        <w:pStyle w:val="MdParagraph"/>
      </w:pPr>
      <w:r>
        <w:t xml:space="preserve">California law does not provide a single, definitive statute that specifies the exact number of days after which a guest becomes a tenant. The distinction is primarily found in </w:t>
      </w:r>
      <w:r>
        <w:rPr>
          <w:rStyle w:val="MdStrong"/>
          <w:b/>
          <w:bCs/>
        </w:rPr>
        <w:t xml:space="preserve">California Civil Code § 1940</w:t>
      </w:r>
      <w:r>
        <w:t xml:space="preserve">, which exempts "transient occupancy" in a hotel or motel from standard landlord-tenant laws [3]. However, for residential properties, the line is less clear and often determined by courts based on the nature of the occupancy. Legal precedent and common practice have led to the widely accepted (though not explicitly codified for all situations) "14-day rule": a guest who stays for more than </w:t>
      </w:r>
      <w:r>
        <w:rPr>
          <w:rStyle w:val="MdStrong"/>
          <w:b/>
          <w:bCs/>
        </w:rPr>
        <w:t xml:space="preserve">14 days in a six-month period</w:t>
      </w:r>
      <w:r>
        <w:t xml:space="preserve"> or more than </w:t>
      </w:r>
      <w:r>
        <w:rPr>
          <w:rStyle w:val="MdStrong"/>
          <w:b/>
          <w:bCs/>
        </w:rPr>
        <w:t xml:space="preserve">7 consecutive nights</w:t>
      </w:r>
      <w:r>
        <w:t xml:space="preserve"> may be able to claim tenant's rights [4].</w:t>
      </w:r>
    </w:p>
    <w:p>
      <w:pPr>
        <w:pStyle w:val="MdSpace"/>
        <w:spacing w:before="0" w:after="60"/>
      </w:pPr>
    </w:p>
    <w:p>
      <w:pPr>
        <w:pStyle w:val="MdParagraph"/>
      </w:pPr>
      <w:r>
        <w:t xml:space="preserve">Therefore, the California template must be structured to unequivocally define the stay as "transient" and have the guest acknowledge the specific time limits that prevent the establishment of residency.</w:t>
      </w:r>
    </w:p>
    <w:p>
      <w:pPr>
        <w:pStyle w:val="MdSpace"/>
        <w:spacing w:before="0" w:after="60"/>
      </w:pPr>
    </w:p>
    <w:p>
      <w:pPr>
        <w:pStyle w:val="Heading4"/>
        <w:pStyle w:val="MdHeading4"/>
      </w:pPr>
      <w:r>
        <w:t xml:space="preserve">Jurisdiction-Specific Language &amp; Data Flow</w:t>
      </w:r>
    </w:p>
    <w:p>
      <w:pPr>
        <w:pStyle w:val="MdListItem"/>
        <w:numPr>
          <w:ilvl w:val="0"/>
          <w:numId w:val="2"/>
        </w:numPr>
      </w:pPr>
      <w:r>
        <w:rPr>
          <w:rStyle w:val="MdStrong"/>
          <w:b/>
          <w:bCs/>
        </w:rPr>
        <w:t xml:space="preserve">Data from Internal System:</w:t>
      </w:r>
      <w:r>
        <w:t xml:space="preserve"> Property Address, Guest Name, Stay Start Date, Stay End Date.</w:t>
      </w:r>
    </w:p>
    <w:p>
      <w:pPr>
        <w:pStyle w:val="MdListItem"/>
        <w:numPr>
          <w:ilvl w:val="0"/>
          <w:numId w:val="2"/>
        </w:numPr>
      </w:pPr>
      <w:r>
        <w:rPr>
          <w:rStyle w:val="MdStrong"/>
          <w:b/>
          <w:bCs/>
        </w:rPr>
        <w:t xml:space="preserve">Data from "Jurisdiction Logic" (Internal):</w:t>
      </w:r>
      <w:r>
        <w:t xml:space="preserve"> The system's jurisdiction logic, based on the property's address, should trigger the insertion of the California-specific clause.</w:t>
      </w:r>
    </w:p>
    <w:p>
      <w:pPr>
        <w:pStyle w:val="MdListItem"/>
        <w:numPr>
          <w:ilvl w:val="0"/>
          <w:numId w:val="2"/>
        </w:numPr>
      </w:pPr>
      <w:r>
        <w:rPr>
          <w:rStyle w:val="MdStrong"/>
          <w:b/>
          <w:bCs/>
        </w:rPr>
        <w:t xml:space="preserve">Statutory Reference:</w:t>
      </w:r>
      <w:r>
        <w:t xml:space="preserve"> The template should reference the principle of "transient occupancy" to align with the intent of Cal. Civ. Code § 1940.</w:t>
      </w:r>
    </w:p>
    <w:p>
      <w:pPr>
        <w:pStyle w:val="MdSpace"/>
        <w:spacing w:before="0" w:after="60"/>
      </w:pPr>
    </w:p>
    <w:p>
      <w:pPr>
        <w:pStyle w:val="Heading4"/>
        <w:pStyle w:val="MdHeading4"/>
      </w:pPr>
      <w:r>
        <w:t xml:space="preserve">California - Sample Template Text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 ACKNOWLEDGMENT AND REVOCABLE LICENSE TO OCCUPY**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**Property:**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[Property Address]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[Guest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**Authorized Stay:**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 Date] to [End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**1. Acknowledgment of Authority:**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the Property Owner has granted a limited Power of Attorney to DocuStay, a third-party documentation platform, authorizing it to maintain records of property status, including your occupancy as a guest.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**2. Grant of Revocable License:**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your authorization to be on the property is a </w:t>
      </w: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**revocable license**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and does not create a tenancy or any other interest in the property. This license is personal to you and may not be assigned or transferred. You may not sublet any part of the 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**3. Acknowledgment of Transient Occupancy (California):**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your occupancy is transient in nature. In accordance with California legal principles, you agree that your stay will not exceed fourteen (14) days within any six-month period or seven (7) consecutive nights. Any stay exceeding these limits requires a separate, written lease agreement with the Property Owner.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**4. No Right to Hold 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have no right to remain on the property after the "End Date" of your authorized stay. Holding over may subject you to legal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**5. Revocation:**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this license is revocable at the will of the Property Owner. The Owner may terminate your occupancy at any time, for any reason, without notice.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**6. Disclaimer:**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This document is a record of your authorized occupancy as a guest under a revocable license. It is not a lease and does not grant you any rights of a tenant under California law. DocuStay is not a law firm and does not provide legal advice.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 Signature:**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_________________________</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_________________________</w:t>
      </w:r>
    </w:p>
    <w:p>
      <w:pPr>
        <w:pStyle w:val="MdSpace"/>
        <w:spacing w:before="0" w:after="60"/>
      </w:pPr>
    </w:p>
    <w:p>
      <w:pPr>
        <w:pStyle w:val="Heading3"/>
        <w:pStyle w:val="MdHeading3"/>
      </w:pPr>
      <w:r>
        <w:t xml:space="preserve">2.2. Florida</w:t>
      </w:r>
    </w:p>
    <w:p>
      <w:pPr>
        <w:pStyle w:val="Heading4"/>
        <w:pStyle w:val="MdHeading4"/>
      </w:pPr>
      <w:r>
        <w:t xml:space="preserve">Legal Context</w:t>
      </w:r>
    </w:p>
    <w:p>
      <w:pPr>
        <w:pStyle w:val="MdParagraph"/>
      </w:pPr>
      <w:r>
        <w:t xml:space="preserve">Florida has recently enacted </w:t>
      </w:r>
      <w:r>
        <w:rPr>
          <w:rStyle w:val="MdStrong"/>
          <w:b/>
          <w:bCs/>
        </w:rPr>
        <w:t xml:space="preserve">House Bill 621</w:t>
      </w:r>
      <w:r>
        <w:t xml:space="preserve">, codified as </w:t>
      </w:r>
      <w:r>
        <w:rPr>
          <w:rStyle w:val="MdStrong"/>
          <w:b/>
          <w:bCs/>
        </w:rPr>
        <w:t xml:space="preserve">Florida Statutes § 82.036</w:t>
      </w:r>
      <w:r>
        <w:t xml:space="preserve">, which provides an expedited process for property owners to remove "unlawful occupants" from residential property [5]. This law is highly advantageous for the DocuStay model. It allows a property owner (or their agent) to file a complaint with the sheriff for the immediate removal of a person who is not a current or former tenant and meets other specific criteria. The Guest Acknowledgment for Florida should be designed to have the guest pre-emptively acknowledge that they meet the definition of a removable "unauthorized person" under this statute, should they fail to vacate.</w:t>
      </w:r>
    </w:p>
    <w:p>
      <w:pPr>
        <w:pStyle w:val="MdSpace"/>
        <w:spacing w:before="0" w:after="60"/>
      </w:pPr>
    </w:p>
    <w:p>
      <w:pPr>
        <w:pStyle w:val="Heading4"/>
        <w:pStyle w:val="MdHeading4"/>
      </w:pPr>
      <w:r>
        <w:t xml:space="preserve">Jurisdiction-Specific Language &amp; Data Flow</w:t>
      </w:r>
    </w:p>
    <w:p>
      <w:pPr>
        <w:pStyle w:val="MdListItem"/>
        <w:numPr>
          <w:ilvl w:val="0"/>
          <w:numId w:val="2"/>
        </w:numPr>
      </w:pPr>
      <w:r>
        <w:rPr>
          <w:rStyle w:val="MdStrong"/>
          <w:b/>
          <w:bCs/>
        </w:rPr>
        <w:t xml:space="preserve">Data from Internal System:</w:t>
      </w:r>
      <w:r>
        <w:t xml:space="preserve"> Property Address, Guest Name, Stay Start Date, Stay End Date.</w:t>
      </w:r>
    </w:p>
    <w:p>
      <w:pPr>
        <w:pStyle w:val="MdListItem"/>
        <w:numPr>
          <w:ilvl w:val="0"/>
          <w:numId w:val="2"/>
        </w:numPr>
      </w:pPr>
      <w:r>
        <w:rPr>
          <w:rStyle w:val="MdStrong"/>
          <w:b/>
          <w:bCs/>
        </w:rPr>
        <w:t xml:space="preserve">Data from "Jurisdiction Logic" (Internal):</w:t>
      </w:r>
      <w:r>
        <w:t xml:space="preserve"> The system should identify the property as being in Florida and insert the clause referencing F.S. § 82.036.</w:t>
      </w:r>
    </w:p>
    <w:p>
      <w:pPr>
        <w:pStyle w:val="MdListItem"/>
        <w:numPr>
          <w:ilvl w:val="0"/>
          <w:numId w:val="2"/>
        </w:numPr>
      </w:pPr>
      <w:r>
        <w:rPr>
          <w:rStyle w:val="MdStrong"/>
          <w:b/>
          <w:bCs/>
        </w:rPr>
        <w:t xml:space="preserve">Statutory Reference:</w:t>
      </w:r>
      <w:r>
        <w:t xml:space="preserve"> The template will directly reference the key conditions of the statute to create a clear record.</w:t>
      </w:r>
    </w:p>
    <w:p>
      <w:pPr>
        <w:pStyle w:val="MdSpace"/>
        <w:spacing w:before="0" w:after="60"/>
      </w:pPr>
    </w:p>
    <w:p>
      <w:pPr>
        <w:pStyle w:val="Heading4"/>
        <w:pStyle w:val="MdHeading4"/>
      </w:pPr>
      <w:r>
        <w:t xml:space="preserve">Florida - Sample Template Text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 ACKNOWLEDGMENT AND REVOCABLE LICENSE TO OCCUPY**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**Property:**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[Property Address]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[Guest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**Authorized Stay:**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 Date] to [End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**1. Acknowledgment of Authority:**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the Property Owner has granted a limited Power of Attorney to DocuStay, a third-party documentation platform, authorizing it to maintain records of property status, including your occupancy as a guest.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**2. Grant of Revocable License:**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your authorization to be on the property is a </w:t>
      </w: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**revocable license**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and does not create a tenancy or any other interest in the property. This license is personal to you and may not be assigned or transferred. You may not sublet any part of the 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**3. Acknowledgment of Status under Florida Law:**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hereby acknowledge and declare that: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You are not a current or former tenant under any written or oral lease with the Property Owner.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You are not an owner, co-owner, or immediate family member of the Property Owner.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Your occupancy is temporary, and you have been directed to leave the property upon the expiration of your authorized stay.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You understand that if you remain on the property without authorization after your license is revoked or expires, the Property Owner may seek your immediate removal by law enforcement pursuant to </w:t>
      </w: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**Florida Statutes § 82.036**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**4. No Right to Hold 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have no right to remain on the property after the "End Date" of your authorized stay. Holding over will be considered unlawful occupancy.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**5. Revocation:**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this license is revocable at the will of the Property Owner. The Owner may terminate your occupancy at any time, for any reason, without notice.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**6. Disclaimer:**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This document is a record of your authorized occupancy as a guest under a revocable license. It is not a lease and does not grant you any rights of a tenant under the Florida Residential Landlord and Tenant Act. DocuStay is not a law firm and does not provide legal advice.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 Signature:**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_________________________</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_________________________</w:t>
      </w:r>
    </w:p>
    <w:p>
      <w:pPr>
        <w:pStyle w:val="MdSpace"/>
        <w:spacing w:before="0" w:after="60"/>
      </w:pPr>
    </w:p>
    <w:p>
      <w:pPr>
        <w:pStyle w:val="Heading3"/>
        <w:pStyle w:val="MdHeading3"/>
      </w:pPr>
      <w:r>
        <w:t xml:space="preserve">2.3. New York</w:t>
      </w:r>
    </w:p>
    <w:p>
      <w:pPr>
        <w:pStyle w:val="Heading4"/>
        <w:pStyle w:val="MdHeading4"/>
      </w:pPr>
      <w:r>
        <w:t xml:space="preserve">Legal Context</w:t>
      </w:r>
    </w:p>
    <w:p>
      <w:pPr>
        <w:pStyle w:val="MdParagraph"/>
      </w:pPr>
      <w:r>
        <w:t xml:space="preserve">New York law is very clear: a guest who occupies a property for </w:t>
      </w:r>
      <w:r>
        <w:rPr>
          <w:rStyle w:val="MdStrong"/>
          <w:b/>
          <w:bCs/>
        </w:rPr>
        <w:t xml:space="preserve">30 consecutive days</w:t>
      </w:r>
      <w:r>
        <w:t xml:space="preserve"> can acquire the rights of a tenant [6]. This is a critical threshold. Furthermore, </w:t>
      </w:r>
      <w:r>
        <w:rPr>
          <w:rStyle w:val="MdStrong"/>
          <w:b/>
          <w:bCs/>
        </w:rPr>
        <w:t xml:space="preserve">New York Real Property Law § 235-f</w:t>
      </w:r>
      <w:r>
        <w:t xml:space="preserve"> (the "Roommate Law") grants tenants rights to have occupants, but it also clarifies that these occupants do not gain tenancy rights without the express written permission of the landlord [7]. The key for the DocuStay template is to ensure the stay is documented as being less than 30 days and to explicitly state that no tenancy is created.</w:t>
      </w:r>
    </w:p>
    <w:p>
      <w:pPr>
        <w:pStyle w:val="MdSpace"/>
        <w:spacing w:before="0" w:after="60"/>
      </w:pPr>
    </w:p>
    <w:p>
      <w:pPr>
        <w:pStyle w:val="Heading4"/>
        <w:pStyle w:val="MdHeading4"/>
      </w:pPr>
      <w:r>
        <w:t xml:space="preserve">Jurisdiction-Specific Language &amp; Data Flow</w:t>
      </w:r>
    </w:p>
    <w:p>
      <w:pPr>
        <w:pStyle w:val="MdListItem"/>
        <w:numPr>
          <w:ilvl w:val="0"/>
          <w:numId w:val="2"/>
        </w:numPr>
      </w:pPr>
      <w:r>
        <w:rPr>
          <w:rStyle w:val="MdStrong"/>
          <w:b/>
          <w:bCs/>
        </w:rPr>
        <w:t xml:space="preserve">Data from Internal System:</w:t>
      </w:r>
      <w:r>
        <w:t xml:space="preserve"> Property Address, Guest Name, Stay Start Date, Stay End Date.</w:t>
      </w:r>
    </w:p>
    <w:p>
      <w:pPr>
        <w:pStyle w:val="MdListItem"/>
        <w:numPr>
          <w:ilvl w:val="0"/>
          <w:numId w:val="2"/>
        </w:numPr>
      </w:pPr>
      <w:r>
        <w:rPr>
          <w:rStyle w:val="MdStrong"/>
          <w:b/>
          <w:bCs/>
        </w:rPr>
        <w:t xml:space="preserve">Data from "Jurisdiction Logic" (Internal):</w:t>
      </w:r>
      <w:r>
        <w:t xml:space="preserve"> The system should identify the property as being in New York and insert the clause referencing the 30-day rule.</w:t>
      </w:r>
    </w:p>
    <w:p>
      <w:pPr>
        <w:pStyle w:val="MdListItem"/>
        <w:numPr>
          <w:ilvl w:val="0"/>
          <w:numId w:val="2"/>
        </w:numPr>
      </w:pPr>
      <w:r>
        <w:rPr>
          <w:rStyle w:val="MdStrong"/>
          <w:b/>
          <w:bCs/>
        </w:rPr>
        <w:t xml:space="preserve">Statutory Reference:</w:t>
      </w:r>
      <w:r>
        <w:t xml:space="preserve"> The template will reference the 30-day threshold to establish a clear understanding with the guest.</w:t>
      </w:r>
    </w:p>
    <w:p>
      <w:pPr>
        <w:pStyle w:val="MdSpace"/>
        <w:spacing w:before="0" w:after="60"/>
      </w:pPr>
    </w:p>
    <w:p>
      <w:pPr>
        <w:pStyle w:val="Heading4"/>
        <w:pStyle w:val="MdHeading4"/>
      </w:pPr>
      <w:r>
        <w:t xml:space="preserve">New York - Sample Template Text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 ACKNOWLEDGMENT AND REVOCABLE LICENSE TO OCCUPY**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**Property:**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[Property Address]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[Guest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**Authorized Stay:**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 Date] to [End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**1. Acknowledgment of Authority:**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the Property Owner has granted a limited Power of Attorney to DocuStay, a third-party documentation platform, authorizing it to maintain records of property status, including your occupancy as a guest.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**2. Grant of Revocable License:**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your authorization to be on the property is a </w:t>
      </w: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**revocable license**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and does not create a tenancy or any other interest in the property. This license is personal to you and may not be assigned or transferred. You may not sublet any part of the 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**3. Acknowledgment of Occupancy Limits (New York):**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your occupancy is temporary and will not exceed twenty-nine (29) consecutive days. Under New York law, occupancy of thirty (30) consecutive days or more can create a tenancy. You agree that any stay beyond 29 consecutive days requires a separate, written lease agreement with the Property Owner.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**4. No Right to Hold 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have no right to remain on the property after the "End Date" of your authorized stay. Holding over may subject you to legal action to remove you as a licensee.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**5. Revocation:**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acknowledge that this license is revocable at the will of the Property Owner. The Owner may terminate your occupancy at any time, for any reason, without notice.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**6. Disclaimer:**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This document is a record of your authorized occupancy as a guest under a revocable license. It is not a lease and does not grant you any rights of a tenant under New York Real Property Law. DocuStay is not a law firm and does not provide legal advice.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**Guest Signature:**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_________________________</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iCs/>
          <w:color w:val="24292E"/>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_________________________</w:t>
      </w:r>
    </w:p>
    <w:p>
      <w:pPr>
        <w:pStyle w:val="MdSpace"/>
        <w:spacing w:before="0" w:after="60"/>
      </w:pPr>
    </w:p>
    <w:p>
      <w:pPr>
        <w:pStyle w:val="Heading2"/>
        <w:pStyle w:val="MdHeading2"/>
      </w:pPr>
      <w:r>
        <w:t xml:space="preserve">Part 3: Guest Rights, Data Flow, and UPL Safeguards</w:t>
      </w:r>
    </w:p>
    <w:p>
      <w:pPr>
        <w:pStyle w:val="MdParagraph"/>
      </w:pPr>
      <w:r>
        <w:t xml:space="preserve">This section details the universal rights and limitations of guests, the technical data flow for generating the acknowledgment, and the critical safeguards to avoid the unauthorized practice of law (UPL).</w:t>
      </w:r>
    </w:p>
    <w:p>
      <w:pPr>
        <w:pStyle w:val="MdSpace"/>
        <w:spacing w:before="0" w:after="60"/>
      </w:pPr>
    </w:p>
    <w:p>
      <w:pPr>
        <w:pStyle w:val="Heading3"/>
        <w:pStyle w:val="MdHeading3"/>
      </w:pPr>
      <w:r>
        <w:t xml:space="preserve">3.1. Guest Rights and Limitations</w:t>
      </w:r>
    </w:p>
    <w:p>
      <w:pPr>
        <w:pStyle w:val="MdParagraph"/>
      </w:pPr>
      <w:r>
        <w:t xml:space="preserve">It is important to understand what rights a guest has by default, and what limitations must be explicitly stated. The user's query correctly identified several of these.</w:t>
      </w:r>
    </w:p>
    <w:p>
      <w:pPr>
        <w:pStyle w:val="MdSpace"/>
        <w:spacing w:before="0" w:after="60"/>
      </w:pPr>
    </w:p>
    <w:p>
      <w:pPr>
        <w:pStyle w:val="MdListItem"/>
        <w:numPr>
          <w:ilvl w:val="0"/>
          <w:numId w:val="2"/>
        </w:numPr>
      </w:pPr>
      <w:r>
        <w:rPr>
          <w:rStyle w:val="MdStrong"/>
          <w:b/>
          <w:bCs/>
        </w:rPr>
        <w:t xml:space="preserve">Permitted Activities (Natural Rights):</w:t>
      </w:r>
      <w:r>
        <w:t xml:space="preserve"> A guest, as a lawful occupant for a temporary period, can generally perform activities associated with daily life without creating a tenancy. These include:</w:t>
      </w:r>
    </w:p>
    <w:p>
      <w:pPr>
        <w:pStyle w:val="MdListItem"/>
        <w:numPr>
          <w:ilvl w:val="1"/>
          <w:numId w:val="2"/>
        </w:numPr>
      </w:pPr>
      <w:r>
        <w:t xml:space="preserve">Receiving mail and packages.</w:t>
      </w:r>
    </w:p>
    <w:p>
      <w:pPr>
        <w:pStyle w:val="MdListItem"/>
        <w:numPr>
          <w:ilvl w:val="1"/>
          <w:numId w:val="2"/>
        </w:numPr>
      </w:pPr>
      <w:r>
        <w:t xml:space="preserve">Performing minor maintenance </w:t>
      </w:r>
      <w:r>
        <w:rPr>
          <w:rStyle w:val="MdEm"/>
          <w:i/>
          <w:iCs/>
        </w:rPr>
        <w:t xml:space="preserve">with the express consent of the owner</w:t>
      </w:r>
      <w:r>
        <w:t xml:space="preserve">.</w:t>
      </w:r>
    </w:p>
    <w:p>
      <w:pPr>
        <w:pStyle w:val="MdListItem"/>
        <w:numPr>
          <w:ilvl w:val="1"/>
          <w:numId w:val="2"/>
        </w:numPr>
      </w:pPr>
      <w:r>
        <w:t xml:space="preserve">Paying bills on behalf of the owner, if explicitly authorized.</w:t>
      </w:r>
      <w:r>
        <w:br/>
        <w:t xml:space="preserve">These activities are generally consistent across most states as they do not, in isolation, demonstrate an intent to establish permanent residency.</w:t>
      </w:r>
    </w:p>
    <w:p>
      <w:pPr>
        <w:pStyle w:val="MdListItem"/>
        <w:numPr>
          <w:ilvl w:val="0"/>
          <w:numId w:val="2"/>
        </w:numPr>
      </w:pPr>
      <w:r>
        <w:rPr>
          <w:rStyle w:val="MdStrong"/>
          <w:b/>
          <w:bCs/>
        </w:rPr>
        <w:t xml:space="preserve">Prohibited Activities (Limitations):</w:t>
      </w:r>
      <w:r>
        <w:t xml:space="preserve"> The acknowledgment must clearly state the limitations on the guest's authority to prevent actions that could create ambiguity or legal complications. The template should explicitly state that the guest </w:t>
      </w:r>
      <w:r>
        <w:rPr>
          <w:rStyle w:val="MdStrong"/>
          <w:b/>
          <w:bCs/>
        </w:rPr>
        <w:t xml:space="preserve">cannot</w:t>
      </w:r>
      <w:r>
        <w:t xml:space="preserve">:</w:t>
      </w:r>
    </w:p>
    <w:p>
      <w:pPr>
        <w:pStyle w:val="MdListItem"/>
        <w:numPr>
          <w:ilvl w:val="1"/>
          <w:numId w:val="2"/>
        </w:numPr>
      </w:pPr>
      <w:r>
        <w:rPr>
          <w:rStyle w:val="MdStrong"/>
          <w:b/>
          <w:bCs/>
        </w:rPr>
        <w:t xml:space="preserve">Sublet or Assign:</w:t>
      </w:r>
      <w:r>
        <w:t xml:space="preserve"> The license is personal to the guest and cannot be transferred.</w:t>
      </w:r>
    </w:p>
    <w:p>
      <w:pPr>
        <w:pStyle w:val="MdListItem"/>
        <w:numPr>
          <w:ilvl w:val="1"/>
          <w:numId w:val="2"/>
        </w:numPr>
      </w:pPr>
      <w:r>
        <w:rPr>
          <w:rStyle w:val="MdStrong"/>
          <w:b/>
          <w:bCs/>
        </w:rPr>
        <w:t xml:space="preserve">Hold Over:</w:t>
      </w:r>
      <w:r>
        <w:t xml:space="preserve"> The guest has no right to remain on the property after the license expires.</w:t>
      </w:r>
    </w:p>
    <w:p>
      <w:pPr>
        <w:pStyle w:val="MdListItem"/>
        <w:numPr>
          <w:ilvl w:val="1"/>
          <w:numId w:val="2"/>
        </w:numPr>
      </w:pPr>
      <w:r>
        <w:rPr>
          <w:rStyle w:val="MdStrong"/>
          <w:b/>
          <w:bCs/>
        </w:rPr>
        <w:t xml:space="preserve">Make Alterations:</w:t>
      </w:r>
      <w:r>
        <w:t xml:space="preserve"> The guest cannot make any changes to the property.</w:t>
      </w:r>
    </w:p>
    <w:p>
      <w:pPr>
        <w:pStyle w:val="MdListItem"/>
        <w:numPr>
          <w:ilvl w:val="1"/>
          <w:numId w:val="2"/>
        </w:numPr>
      </w:pPr>
      <w:r>
        <w:rPr>
          <w:rStyle w:val="MdStrong"/>
          <w:b/>
          <w:bCs/>
        </w:rPr>
        <w:t xml:space="preserve">Establish Residency:</w:t>
      </w:r>
      <w:r>
        <w:t xml:space="preserve"> The guest must acknowledge that they are not establishing legal residency.</w:t>
      </w:r>
    </w:p>
    <w:p>
      <w:pPr>
        <w:pStyle w:val="MdSpace"/>
        <w:spacing w:before="0" w:after="60"/>
      </w:pPr>
    </w:p>
    <w:p>
      <w:pPr>
        <w:pStyle w:val="MdParagraph"/>
      </w:pPr>
      <w:r>
        <w:t xml:space="preserve">This framework is broadly accurate across most states because the legal status of a guest is defined by the </w:t>
      </w:r>
      <w:r>
        <w:rPr>
          <w:rStyle w:val="MdEm"/>
          <w:i/>
          <w:iCs/>
        </w:rPr>
        <w:t xml:space="preserve">absence</w:t>
      </w:r>
      <w:r>
        <w:t xml:space="preserve"> of the rights granted in a lease. By framing the authorization as a revocable license, these limitations are inherent, but stating them explicitly in the acknowledgment removes all doubt.</w:t>
      </w:r>
    </w:p>
    <w:p>
      <w:pPr>
        <w:pStyle w:val="MdSpace"/>
        <w:spacing w:before="0" w:after="60"/>
      </w:pPr>
    </w:p>
    <w:p>
      <w:pPr>
        <w:pStyle w:val="Heading3"/>
        <w:pStyle w:val="MdHeading3"/>
      </w:pPr>
      <w:r>
        <w:t xml:space="preserve">3.2. Data Flow and Integration Architecture</w:t>
      </w:r>
    </w:p>
    <w:p>
      <w:pPr>
        <w:pStyle w:val="MdParagraph"/>
      </w:pPr>
      <w:r>
        <w:t xml:space="preserve">To create a jurisdiction-aware template without engaging in UPL, the data flow must be carefully structured to ensure the platform is acting as a document automation tool, not a legal advice generator.</w:t>
      </w:r>
    </w:p>
    <w:p>
      <w:pPr>
        <w:pStyle w:val="MdSpace"/>
        <w:spacing w:before="0" w:after="60"/>
      </w:pPr>
    </w:p>
    <w:p>
      <w:pPr>
        <w:pStyle w:val="MdParagraph"/>
      </w:pPr>
      <w:r>
        <w:rPr>
          <w:rStyle w:val="MdStrong"/>
          <w:b/>
          <w:bCs/>
        </w:rPr>
        <w:t xml:space="preserve">The recommended data flow is as follows:</w:t>
      </w:r>
    </w:p>
    <w:p>
      <w:pPr>
        <w:pStyle w:val="MdSpace"/>
        <w:spacing w:before="0" w:after="60"/>
      </w:pPr>
    </w:p>
    <w:p>
      <w:pPr>
        <w:pStyle w:val="MdListItem"/>
        <w:numPr>
          <w:ilvl w:val="0"/>
          <w:numId w:val="3"/>
        </w:numPr>
      </w:pPr>
      <w:r>
        <w:rPr>
          <w:rStyle w:val="MdStrong"/>
          <w:b/>
          <w:bCs/>
        </w:rPr>
        <w:t xml:space="preserve">User Input:</w:t>
      </w:r>
      <w:r>
        <w:t xml:space="preserve"> The property owner (or their agent) enters the guest's contact information and desired stay dates into the DocuStay platform.</w:t>
      </w:r>
    </w:p>
    <w:p>
      <w:pPr>
        <w:pStyle w:val="MdListItem"/>
        <w:numPr>
          <w:ilvl w:val="0"/>
          <w:numId w:val="3"/>
        </w:numPr>
      </w:pPr>
      <w:r>
        <w:rPr>
          <w:rStyle w:val="MdStrong"/>
          <w:b/>
          <w:bCs/>
        </w:rPr>
        <w:t xml:space="preserve">Internal Data Retrieval:</w:t>
      </w:r>
      <w:r>
        <w:t xml:space="preserve"> The system pulls the following from its internal database:</w:t>
      </w:r>
    </w:p>
    <w:p>
      <w:pPr>
        <w:pStyle w:val="MdListItem"/>
        <w:numPr>
          <w:ilvl w:val="1"/>
          <w:numId w:val="2"/>
        </w:numPr>
      </w:pPr>
      <w:r>
        <w:t xml:space="preserve">Property Owner's Name</w:t>
      </w:r>
    </w:p>
    <w:p>
      <w:pPr>
        <w:pStyle w:val="MdListItem"/>
        <w:numPr>
          <w:ilvl w:val="1"/>
          <w:numId w:val="2"/>
        </w:numPr>
      </w:pPr>
      <w:r>
        <w:t xml:space="preserve">Property Address</w:t>
      </w:r>
    </w:p>
    <w:p>
      <w:pPr>
        <w:pStyle w:val="MdListItem"/>
        <w:numPr>
          <w:ilvl w:val="1"/>
          <w:numId w:val="2"/>
        </w:numPr>
      </w:pPr>
      <w:r>
        <w:t xml:space="preserve">Guest's Name (once entered by the guest)</w:t>
      </w:r>
    </w:p>
    <w:p>
      <w:pPr>
        <w:pStyle w:val="MdListItem"/>
        <w:numPr>
          <w:ilvl w:val="1"/>
          <w:numId w:val="2"/>
        </w:numPr>
      </w:pPr>
      <w:r>
        <w:t xml:space="preserve">Requested Stay Dates</w:t>
      </w:r>
    </w:p>
    <w:p>
      <w:pPr>
        <w:pStyle w:val="MdListItem"/>
        <w:numPr>
          <w:ilvl w:val="0"/>
          <w:numId w:val="3"/>
        </w:numPr>
      </w:pPr>
      <w:r>
        <w:rPr>
          <w:rStyle w:val="MdStrong"/>
          <w:b/>
          <w:bCs/>
        </w:rPr>
        <w:t xml:space="preserve">Jurisdiction Logic (Internal Rules Engine):</w:t>
      </w:r>
    </w:p>
    <w:p>
      <w:pPr>
        <w:pStyle w:val="MdListItem"/>
        <w:numPr>
          <w:ilvl w:val="1"/>
          <w:numId w:val="2"/>
        </w:numPr>
      </w:pPr>
      <w:r>
        <w:t xml:space="preserve">The system uses the </w:t>
      </w:r>
      <w:r>
        <w:rPr>
          <w:rStyle w:val="MdStrong"/>
          <w:b/>
          <w:bCs/>
        </w:rPr>
        <w:t xml:space="preserve">Property Address</w:t>
      </w:r>
      <w:r>
        <w:t xml:space="preserve"> to query an </w:t>
      </w:r>
      <w:r>
        <w:rPr>
          <w:rStyle w:val="MdStrong"/>
          <w:b/>
          <w:bCs/>
        </w:rPr>
        <w:t xml:space="preserve">internal, pre-built rules engine</w:t>
      </w:r>
      <w:r>
        <w:t xml:space="preserve">.</w:t>
      </w:r>
    </w:p>
    <w:p>
      <w:pPr>
        <w:pStyle w:val="MdListItem"/>
        <w:numPr>
          <w:ilvl w:val="1"/>
          <w:numId w:val="2"/>
        </w:numPr>
      </w:pPr>
      <w:r>
        <w:t xml:space="preserve">This engine contains the pre-vetted, state-specific legal clauses (as drafted in Part 2). It maps addresses (by state, and potentially city or county for more granular rules) to the correct clause.</w:t>
      </w:r>
    </w:p>
    <w:p>
      <w:pPr>
        <w:pStyle w:val="MdListItem"/>
        <w:numPr>
          <w:ilvl w:val="1"/>
          <w:numId w:val="2"/>
        </w:numPr>
      </w:pPr>
      <w:r>
        <w:rPr>
          <w:rStyle w:val="MdStrong"/>
          <w:b/>
          <w:bCs/>
        </w:rPr>
        <w:t xml:space="preserve">Crucially, the platform does NOT make a live API call to an external legal database (like OpenLaws.us) to fetch and insert statutory text in real time.</w:t>
      </w:r>
      <w:r>
        <w:t xml:space="preserve"> Doing so would be extremely risky, as the platform could not guarantee the accuracy, relevance, or proper legal framing of the dynamically retrieved text. This would verge on UPL.</w:t>
      </w:r>
    </w:p>
    <w:p>
      <w:pPr>
        <w:pStyle w:val="MdListItem"/>
        <w:numPr>
          <w:ilvl w:val="0"/>
          <w:numId w:val="3"/>
        </w:numPr>
      </w:pPr>
      <w:r>
        <w:rPr>
          <w:rStyle w:val="MdStrong"/>
          <w:b/>
          <w:bCs/>
        </w:rPr>
        <w:t xml:space="preserve">Template Assembly:</w:t>
      </w:r>
      <w:r>
        <w:t xml:space="preserve"> The system assembles the Guest Acknowledgment by inserting the internal data and the selected jurisdiction-specific clause into the base template.</w:t>
      </w:r>
    </w:p>
    <w:p>
      <w:pPr>
        <w:pStyle w:val="MdListItem"/>
        <w:numPr>
          <w:ilvl w:val="0"/>
          <w:numId w:val="3"/>
        </w:numPr>
      </w:pPr>
      <w:r>
        <w:rPr>
          <w:rStyle w:val="MdStrong"/>
          <w:b/>
          <w:bCs/>
        </w:rPr>
        <w:t xml:space="preserve">Guest Review and Signature:</w:t>
      </w:r>
      <w:r>
        <w:t xml:space="preserve"> The guest receives the fully assembled document for review and electronic signature.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 Source</w:t>
            </w:r>
          </w:p>
        </w:tc>
        <w:tc>
          <w:tcPr>
            <w:tcMar>
              <w:top w:type="dxa" w:w="100"/>
              <w:left w:type="dxa" w:w="120"/>
              <w:bottom w:type="dxa" w:w="100"/>
              <w:right w:type="dxa" w:w="120"/>
            </w:tcMar>
            <w:vAlign w:val="center"/>
          </w:tcPr>
          <w:p>
            <w:pPr>
              <w:pStyle w:val="MdTableHeader"/>
              <w:jc w:val="left"/>
            </w:pPr>
            <w:r>
              <w:t xml:space="preserve">Information Provided</w:t>
            </w:r>
          </w:p>
        </w:tc>
        <w:tc>
          <w:tcPr>
            <w:tcMar>
              <w:top w:type="dxa" w:w="100"/>
              <w:left w:type="dxa" w:w="120"/>
              <w:bottom w:type="dxa" w:w="100"/>
              <w:right w:type="dxa" w:w="120"/>
            </w:tcMar>
            <w:vAlign w:val="center"/>
          </w:tcPr>
          <w:p>
            <w:pPr>
              <w:pStyle w:val="MdTableHeader"/>
              <w:jc w:val="left"/>
            </w:pPr>
            <w:r>
              <w:t xml:space="preserve">Integration Method</w:t>
            </w:r>
          </w:p>
        </w:tc>
        <w:tc>
          <w:tcPr>
            <w:tcBorders>
              <w:right w:val="none"/>
            </w:tcBorders>
            <w:tcMar>
              <w:top w:type="dxa" w:w="100"/>
              <w:left w:type="dxa" w:w="120"/>
              <w:bottom w:type="dxa" w:w="100"/>
              <w:right w:type="dxa" w:w="120"/>
            </w:tcMar>
            <w:vAlign w:val="center"/>
          </w:tcPr>
          <w:p>
            <w:pPr>
              <w:pStyle w:val="MdTableHeader"/>
              <w:jc w:val="left"/>
            </w:pPr>
            <w:r>
              <w:t xml:space="preserve">UPL Risk Mitigation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DocuStay Internal DB</w:t>
            </w:r>
          </w:p>
        </w:tc>
        <w:tc>
          <w:tcPr>
            <w:tcMar>
              <w:top w:type="dxa" w:w="80"/>
              <w:left w:type="dxa" w:w="120"/>
              <w:bottom w:type="dxa" w:w="80"/>
              <w:right w:type="dxa" w:w="120"/>
            </w:tcMar>
            <w:vAlign w:val="center"/>
          </w:tcPr>
          <w:p>
            <w:pPr>
              <w:pStyle w:val="MdTableCell"/>
              <w:jc w:val="left"/>
            </w:pPr>
            <w:r>
              <w:t xml:space="preserve">Owner, Property, Guest, Dates</w:t>
            </w:r>
          </w:p>
        </w:tc>
        <w:tc>
          <w:tcPr>
            <w:tcMar>
              <w:top w:type="dxa" w:w="80"/>
              <w:left w:type="dxa" w:w="120"/>
              <w:bottom w:type="dxa" w:w="80"/>
              <w:right w:type="dxa" w:w="120"/>
            </w:tcMar>
            <w:vAlign w:val="center"/>
          </w:tcPr>
          <w:p>
            <w:pPr>
              <w:pStyle w:val="MdTableCell"/>
              <w:jc w:val="left"/>
            </w:pPr>
            <w:r>
              <w:t xml:space="preserve">Direct insertion</w:t>
            </w:r>
          </w:p>
        </w:tc>
        <w:tc>
          <w:tcPr>
            <w:tcBorders>
              <w:right w:val="none"/>
            </w:tcBorders>
            <w:tcMar>
              <w:top w:type="dxa" w:w="80"/>
              <w:left w:type="dxa" w:w="120"/>
              <w:bottom w:type="dxa" w:w="80"/>
              <w:right w:type="dxa" w:w="120"/>
            </w:tcMar>
            <w:vAlign w:val="center"/>
          </w:tcPr>
          <w:p>
            <w:pPr>
              <w:pStyle w:val="MdTableCell"/>
              <w:jc w:val="left"/>
            </w:pPr>
            <w:r>
              <w:t xml:space="preserve">Low risk; factual data entry.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Internal Jurisdiction Engine</w:t>
            </w:r>
          </w:p>
        </w:tc>
        <w:tc>
          <w:tcPr>
            <w:tcMar>
              <w:top w:type="dxa" w:w="80"/>
              <w:left w:type="dxa" w:w="120"/>
              <w:bottom w:type="dxa" w:w="80"/>
              <w:right w:type="dxa" w:w="120"/>
            </w:tcMar>
            <w:vAlign w:val="center"/>
          </w:tcPr>
          <w:p>
            <w:pPr>
              <w:pStyle w:val="MdTableCell"/>
              <w:jc w:val="left"/>
            </w:pPr>
            <w:r>
              <w:t xml:space="preserve">Pre-vetted legal clauses for CA, FL, NY, etc.</w:t>
            </w:r>
          </w:p>
        </w:tc>
        <w:tc>
          <w:tcPr>
            <w:tcMar>
              <w:top w:type="dxa" w:w="80"/>
              <w:left w:type="dxa" w:w="120"/>
              <w:bottom w:type="dxa" w:w="80"/>
              <w:right w:type="dxa" w:w="120"/>
            </w:tcMar>
            <w:vAlign w:val="center"/>
          </w:tcPr>
          <w:p>
            <w:pPr>
              <w:pStyle w:val="MdTableCell"/>
              <w:jc w:val="left"/>
            </w:pPr>
            <w:r>
              <w:t xml:space="preserve">Internal lookup based on property address</w:t>
            </w:r>
          </w:p>
        </w:tc>
        <w:tc>
          <w:tcPr>
            <w:tcBorders>
              <w:right w:val="none"/>
            </w:tcBorders>
            <w:tcMar>
              <w:top w:type="dxa" w:w="80"/>
              <w:left w:type="dxa" w:w="120"/>
              <w:bottom w:type="dxa" w:w="80"/>
              <w:right w:type="dxa" w:w="120"/>
            </w:tcMar>
            <w:vAlign w:val="center"/>
          </w:tcPr>
          <w:p>
            <w:pPr>
              <w:pStyle w:val="MdTableCell"/>
              <w:jc w:val="left"/>
            </w:pPr>
            <w:r>
              <w:t xml:space="preserve">Mitigates UPL by using pre-approved, static text. The system is a "dumb" assembler, not a dynamic legal interpreter.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External Legal Database (e.g., OpenLaws.us)</w:t>
            </w:r>
          </w:p>
        </w:tc>
        <w:tc>
          <w:tcPr>
            <w:tcBorders>
              <w:bottom w:val="single" w:color="E1E4E8" w:sz="4"/>
            </w:tcBorders>
            <w:tcMar>
              <w:top w:type="dxa" w:w="80"/>
              <w:left w:type="dxa" w:w="120"/>
              <w:bottom w:type="dxa" w:w="80"/>
              <w:right w:type="dxa" w:w="120"/>
            </w:tcMar>
            <w:vAlign w:val="center"/>
          </w:tcPr>
          <w:p>
            <w:pPr>
              <w:pStyle w:val="MdTableCell"/>
              <w:jc w:val="left"/>
            </w:pPr>
            <w:r>
              <w:rPr>
                <w:rStyle w:val="MdEm"/>
                <w:i/>
                <w:iCs/>
              </w:rPr>
              <w:t xml:space="preserve">For Research Only</w:t>
            </w:r>
          </w:p>
        </w:tc>
        <w:tc>
          <w:tcPr>
            <w:tcBorders>
              <w:bottom w:val="single" w:color="E1E4E8" w:sz="4"/>
            </w:tcBorders>
            <w:tcMar>
              <w:top w:type="dxa" w:w="80"/>
              <w:left w:type="dxa" w:w="120"/>
              <w:bottom w:type="dxa" w:w="80"/>
              <w:right w:type="dxa" w:w="120"/>
            </w:tcMar>
            <w:vAlign w:val="center"/>
          </w:tcPr>
          <w:p>
            <w:pPr>
              <w:pStyle w:val="MdTableCell"/>
              <w:jc w:val="left"/>
            </w:pPr>
            <w:r>
              <w:t xml:space="preserve">N/A (Not used in live generation)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Avoids the high risk of dynamically inserting unvetted legal text. Used by legal counsel to </w:t>
            </w:r>
            <w:r>
              <w:rPr>
                <w:rStyle w:val="MdEm"/>
                <w:i/>
                <w:iCs/>
              </w:rPr>
              <w:t xml:space="preserve">build</w:t>
            </w:r>
            <w:r>
              <w:t xml:space="preserve"> the internal engine.</w:t>
            </w:r>
          </w:p>
        </w:tc>
      </w:tr>
    </w:tbl>
    <w:p>
      <w:pPr>
        <w:pStyle w:val="Heading3"/>
        <w:pStyle w:val="MdHeading3"/>
      </w:pPr>
      <w:r>
        <w:t xml:space="preserve">3.3. Legal Safety and UPL Safeguards</w:t>
      </w:r>
    </w:p>
    <w:p>
      <w:pPr>
        <w:pStyle w:val="MdParagraph"/>
      </w:pPr>
      <w:r>
        <w:t xml:space="preserve">Avoiding UPL is the single most important legal consideration. The entire workflow and template structure are designed around this principle.</w:t>
      </w:r>
    </w:p>
    <w:p>
      <w:pPr>
        <w:pStyle w:val="MdSpace"/>
        <w:spacing w:before="0" w:after="60"/>
      </w:pPr>
    </w:p>
    <w:p>
      <w:pPr>
        <w:pStyle w:val="MdParagraph"/>
      </w:pPr>
      <w:r>
        <w:rPr>
          <w:rStyle w:val="MdStrong"/>
          <w:b/>
          <w:bCs/>
        </w:rPr>
        <w:t xml:space="preserve">Core Safeguard:</w:t>
      </w:r>
      <w:r>
        <w:t xml:space="preserve"> The platform must never provide legal advice. It must only provide </w:t>
      </w:r>
      <w:r>
        <w:rPr>
          <w:rStyle w:val="MdStrong"/>
          <w:b/>
          <w:bCs/>
        </w:rPr>
        <w:t xml:space="preserve">legal information</w:t>
      </w:r>
      <w:r>
        <w:t xml:space="preserve"> in the context of a document automation service.</w:t>
      </w:r>
    </w:p>
    <w:p>
      <w:pPr>
        <w:pStyle w:val="MdSpace"/>
        <w:spacing w:before="0" w:after="60"/>
      </w:pPr>
    </w:p>
    <w:p>
      <w:pPr>
        <w:pStyle w:val="MdParagraph"/>
      </w:pPr>
      <w:r>
        <w:rPr>
          <w:rStyle w:val="MdStrong"/>
          <w:b/>
          <w:bCs/>
        </w:rPr>
        <w:t xml:space="preserve">Key Safeguards Implemented in this Guidance:</w:t>
      </w:r>
    </w:p>
    <w:p>
      <w:pPr>
        <w:pStyle w:val="MdSpace"/>
        <w:spacing w:before="0" w:after="60"/>
      </w:pPr>
    </w:p>
    <w:p>
      <w:pPr>
        <w:pStyle w:val="MdListItem"/>
        <w:numPr>
          <w:ilvl w:val="0"/>
          <w:numId w:val="3"/>
        </w:numPr>
      </w:pPr>
      <w:r>
        <w:rPr>
          <w:rStyle w:val="MdStrong"/>
          <w:b/>
          <w:bCs/>
        </w:rPr>
        <w:t xml:space="preserve">Template Title:</w:t>
      </w:r>
      <w:r>
        <w:t xml:space="preserve"> Using "Acknowledgment" and "Revocable License" avoids the contractual implications of an "Agreement."</w:t>
      </w:r>
    </w:p>
    <w:p>
      <w:pPr>
        <w:pStyle w:val="MdListItem"/>
        <w:numPr>
          <w:ilvl w:val="0"/>
          <w:numId w:val="3"/>
        </w:numPr>
      </w:pPr>
      <w:r>
        <w:rPr>
          <w:rStyle w:val="MdStrong"/>
          <w:b/>
          <w:bCs/>
        </w:rPr>
        <w:t xml:space="preserve">Explicit Disclaimers:</w:t>
      </w:r>
      <w:r>
        <w:t xml:space="preserve"> A comprehensive disclaimer must be included in every acknowledgment.</w:t>
      </w:r>
    </w:p>
    <w:p>
      <w:pPr>
        <w:pStyle w:val="MdListItem"/>
        <w:numPr>
          <w:ilvl w:val="0"/>
          <w:numId w:val="3"/>
        </w:numPr>
      </w:pPr>
      <w:r>
        <w:rPr>
          <w:rStyle w:val="MdStrong"/>
          <w:b/>
          <w:bCs/>
        </w:rPr>
        <w:t xml:space="preserve">Static, Pre-vetted Clauses:</w:t>
      </w:r>
      <w:r>
        <w:t xml:space="preserve"> The use of an internal rules engine with pre-drafted, lawyer-vetted clauses ensures the platform is not dynamically interpreting the law.</w:t>
      </w:r>
    </w:p>
    <w:p>
      <w:pPr>
        <w:pStyle w:val="MdListItem"/>
        <w:numPr>
          <w:ilvl w:val="0"/>
          <w:numId w:val="3"/>
        </w:numPr>
      </w:pPr>
      <w:r>
        <w:rPr>
          <w:rStyle w:val="MdStrong"/>
          <w:b/>
          <w:bCs/>
        </w:rPr>
        <w:t xml:space="preserve">Clear Role Definition:</w:t>
      </w:r>
      <w:r>
        <w:t xml:space="preserve"> The acknowledgment clearly states that DocuStay is a third-party documentation platform acting on the owner's authority, not a party to the agreement or a legal representative.</w:t>
      </w:r>
    </w:p>
    <w:p>
      <w:pPr>
        <w:pStyle w:val="MdSpace"/>
        <w:spacing w:before="0" w:after="60"/>
      </w:pPr>
    </w:p>
    <w:p>
      <w:pPr>
        <w:pStyle w:val="MdParagraph"/>
      </w:pPr>
      <w:r>
        <w:rPr>
          <w:rStyle w:val="MdStrong"/>
          <w:b/>
          <w:bCs/>
        </w:rPr>
        <w:t xml:space="preserve">Recommended Comprehensive Disclaimer Language:</w:t>
      </w:r>
    </w:p>
    <w:p>
      <w:pPr>
        <w:pStyle w:val="MdSpace"/>
        <w:spacing w:before="0" w:after="60"/>
      </w:pPr>
    </w:p>
    <w:p>
      <w:pPr>
        <w:pStyle w:val="MdBlockquote"/>
      </w:pPr>
      <w:r>
        <w:t xml:space="preserve">"</w:t>
      </w:r>
      <w:r>
        <w:rPr>
          <w:rStyle w:val="MdStrong"/>
          <w:b/>
          <w:bCs/>
        </w:rPr>
        <w:t xml:space="preserve">Disclaimer:</w:t>
      </w:r>
      <w:r>
        <w:t xml:space="preserve"> This document is a record of your authorized occupancy as a guest under a revocable license. It is not a lease and does not grant you any rights of a tenant under state or local law. The information contained herein is for documentation purposes only. DocuStay is a technology platform, not a law firm, and does not provide legal advice. This document is not a substitute for advice from a qualified attorney. No attorney-client relationship is created by your use of this platform."</w:t>
      </w:r>
    </w:p>
    <w:p>
      <w:pPr>
        <w:pStyle w:val="MdSpace"/>
        <w:spacing w:before="0" w:after="60"/>
      </w:pPr>
    </w:p>
    <w:p>
      <w:pPr>
        <w:pStyle w:val="Heading2"/>
        <w:pStyle w:val="MdHeading2"/>
      </w:pPr>
      <w:r>
        <w:t xml:space="preserve">References</w:t>
      </w:r>
    </w:p>
    <w:p>
      <w:pPr>
        <w:pStyle w:val="MdParagraph"/>
      </w:pPr>
      <w:r>
        <w:t xml:space="preserve">[1] Bellhaven.org. "Understanding Real Estate Acknowledgments: A Quick Guide." December 4, 2024.</w:t>
      </w:r>
    </w:p>
    <w:p>
      <w:pPr>
        <w:pStyle w:val="MdSpace"/>
        <w:spacing w:before="0" w:after="60"/>
      </w:pPr>
    </w:p>
    <w:p>
      <w:pPr>
        <w:pStyle w:val="MdParagraph"/>
      </w:pPr>
      <w:r>
        <w:t xml:space="preserve">[2] Norris McLaughlin P.A. "Lease v. License – What’s the Difference?" Location Litigation Blog.</w:t>
      </w:r>
    </w:p>
    <w:p>
      <w:pPr>
        <w:pStyle w:val="MdSpace"/>
        <w:spacing w:before="0" w:after="60"/>
      </w:pPr>
    </w:p>
    <w:p>
      <w:pPr>
        <w:pStyle w:val="MdParagraph"/>
      </w:pPr>
      <w:r>
        <w:t xml:space="preserve">[3] California Legislative Information. </w:t>
      </w:r>
      <w:r>
        <w:rPr>
          <w:rStyle w:val="MdEm"/>
          <w:i/>
          <w:iCs/>
        </w:rPr>
        <w:t xml:space="preserve">California Civil Code § 1940</w:t>
      </w:r>
      <w:r>
        <w:t xml:space="preserve">. </w:t>
      </w:r>
    </w:p>
    <w:p>
      <w:pPr>
        <w:pStyle w:val="MdSpace"/>
        <w:spacing w:before="0" w:after="60"/>
      </w:pPr>
    </w:p>
    <w:p>
      <w:pPr>
        <w:pStyle w:val="MdParagraph"/>
      </w:pPr>
      <w:r>
        <w:t xml:space="preserve">[4] Fast Eviction Service. "When Does a Guest Become a Tenant in California?" January 3, 2020.</w:t>
      </w:r>
    </w:p>
    <w:p>
      <w:pPr>
        <w:pStyle w:val="MdSpace"/>
        <w:spacing w:before="0" w:after="60"/>
      </w:pPr>
    </w:p>
    <w:p>
      <w:pPr>
        <w:pStyle w:val="MdParagraph"/>
      </w:pPr>
      <w:r>
        <w:t xml:space="preserve">[5] The Florida Senate. </w:t>
      </w:r>
      <w:r>
        <w:rPr>
          <w:rStyle w:val="MdEm"/>
          <w:i/>
          <w:iCs/>
        </w:rPr>
        <w:t xml:space="preserve">Florida Statutes § 82.036</w:t>
      </w:r>
      <w:r>
        <w:t xml:space="preserve">. </w:t>
      </w:r>
    </w:p>
    <w:p>
      <w:pPr>
        <w:pStyle w:val="MdSpace"/>
        <w:spacing w:before="0" w:after="60"/>
      </w:pPr>
    </w:p>
    <w:p>
      <w:pPr>
        <w:pStyle w:val="MdParagraph"/>
      </w:pPr>
      <w:r>
        <w:t xml:space="preserve">[6] BDS Law. "What you need to know about hotel guests becoming tenants in NY." February 4, 2025.</w:t>
      </w:r>
    </w:p>
    <w:p>
      <w:pPr>
        <w:pStyle w:val="MdSpace"/>
        <w:spacing w:before="0" w:after="60"/>
      </w:pPr>
    </w:p>
    <w:p>
      <w:pPr>
        <w:pStyle w:val="MdParagraph"/>
      </w:pPr>
      <w:r>
        <w:t xml:space="preserve">[7] Justia Law. </w:t>
      </w:r>
      <w:r>
        <w:rPr>
          <w:rStyle w:val="MdEm"/>
          <w:i/>
          <w:iCs/>
        </w:rPr>
        <w:t xml:space="preserve">New York Real Property Law § 235-F (2025)</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2026-03-03T22:56:40.386Z</dcterms:created>
  <dcterms:modified xsi:type="dcterms:W3CDTF">2026-03-03T22:56:40.386Z</dcterms:modified>
</cp:coreProperties>
</file>

<file path=docProps/custom.xml><?xml version="1.0" encoding="utf-8"?>
<Properties xmlns="http://schemas.openxmlformats.org/officeDocument/2006/custom-properties" xmlns:vt="http://schemas.openxmlformats.org/officeDocument/2006/docPropsVTypes"/>
</file>