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Case Study</w:t>
      </w:r>
    </w:p>
    <w:p w:rsidR="00000000" w:rsidDel="00000000" w:rsidP="00000000" w:rsidRDefault="00000000" w:rsidRPr="00000000" w14:paraId="00000002">
      <w:pPr>
        <w:pageBreakBefore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Question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 xml:space="preserve">Jane has noticed a bearded man in a turban, most likely the Arabs and is under 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cultural shock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This can be due to the reason of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religion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which is mostly misunderstood. This is also a case of misunderstood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cultural identity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appearance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05">
      <w:pPr>
        <w:pageBreakBefore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Question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 xml:space="preserve">Peter’s response in fact more accurate, as Jane is assuming the person to be a terrorist just by a beard and turban, that anyone else regardless of their actual culture may be a terrorist which is plainly wrong accusation.</w:t>
      </w:r>
    </w:p>
    <w:p w:rsidR="00000000" w:rsidDel="00000000" w:rsidP="00000000" w:rsidRDefault="00000000" w:rsidRPr="00000000" w14:paraId="00000008">
      <w:pPr>
        <w:pageBreakBefore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Question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 xml:space="preserve">Jane is clearly in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cultural shock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She may or may not have understood the concept of muslims and terrorism completely and should practice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intercultural communication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and should practice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intercultural empathy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B">
      <w:pPr>
        <w:pageBreakBefore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 xml:space="preserve">Peter has properly understood the situation and has practiced above mentioned ideas clearly, while also showing soundness in his answer.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