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D74" w14:textId="77777777" w:rsidR="00440FC7" w:rsidRDefault="00440FC7" w:rsidP="0071727A">
      <w:pPr>
        <w:rPr>
          <w:rFonts w:ascii="Nunito" w:eastAsia="Nunito" w:hAnsi="Nunito" w:cs="Nunito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3"/>
        <w:gridCol w:w="1459"/>
        <w:gridCol w:w="1855"/>
        <w:gridCol w:w="2011"/>
        <w:gridCol w:w="1917"/>
      </w:tblGrid>
      <w:tr w:rsidR="00440FC7" w14:paraId="0CA0D726" w14:textId="77777777">
        <w:trPr>
          <w:trHeight w:val="315"/>
        </w:trPr>
        <w:tc>
          <w:tcPr>
            <w:tcW w:w="1782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7AB7E5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The Cognitive Process Dimension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DB6AA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Factual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575DE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Conceptual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07A4E2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Procedural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D46C6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Metacognitive</w:t>
            </w:r>
          </w:p>
        </w:tc>
      </w:tr>
      <w:tr w:rsidR="00440FC7" w14:paraId="684B19AD" w14:textId="77777777">
        <w:trPr>
          <w:trHeight w:val="1200"/>
        </w:trPr>
        <w:tc>
          <w:tcPr>
            <w:tcW w:w="1782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8FA5" w14:textId="77777777" w:rsidR="00440FC7" w:rsidRDefault="00440F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56CD1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The basic elements a student must know to be acquainted with a discipline or solve problems in it.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C7525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The interrelationships among the basic elements within a larger structure that enable them to function together.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6B4C1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How to do something, methods of inquiry, and criteria for using skills, algorithms, techniques, and methods.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F11F50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Knowledge of cognition in general as well as awareness and knowledge of one’s own cognition.</w:t>
            </w:r>
          </w:p>
        </w:tc>
      </w:tr>
      <w:tr w:rsidR="00440FC7" w14:paraId="145F0521" w14:textId="77777777">
        <w:trPr>
          <w:trHeight w:val="1230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4E4FB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Remember</w:t>
            </w:r>
          </w:p>
          <w:p w14:paraId="36713093" w14:textId="77777777" w:rsidR="00440FC7" w:rsidRDefault="00440FC7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2F614481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Retrieve relevant knowledge from long-term memory.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DDF2E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List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primary and secondary colors.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B7CB23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Recognize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symptoms of exhaustion.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8FF56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Recall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how to perform CPR.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88FBD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Identify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strategies for retaining information.</w:t>
            </w:r>
          </w:p>
        </w:tc>
      </w:tr>
      <w:tr w:rsidR="00440FC7" w14:paraId="7787AB08" w14:textId="77777777">
        <w:trPr>
          <w:trHeight w:val="1470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470B2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Understand</w:t>
            </w:r>
          </w:p>
          <w:p w14:paraId="6E742EDC" w14:textId="77777777" w:rsidR="00440FC7" w:rsidRDefault="00440FC7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7A3691B9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Construct meaning from instructional messages, including oral, written, and graphic communication.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816450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Summarize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features of a new product.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21F82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Classify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adhesives by toxicity.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FC540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Clarify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assembly instructions.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EE803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Predict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one’s response to culture shock.</w:t>
            </w:r>
          </w:p>
        </w:tc>
      </w:tr>
      <w:tr w:rsidR="00440FC7" w14:paraId="26D7CC9F" w14:textId="77777777">
        <w:trPr>
          <w:trHeight w:val="1230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939FC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Apply</w:t>
            </w:r>
          </w:p>
          <w:p w14:paraId="1EF23790" w14:textId="77777777" w:rsidR="00440FC7" w:rsidRDefault="00440FC7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4D4A5FEF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Carry out or use a procedure in a given situation.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F3EBF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Respond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to frequently asked questions.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706F2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Provide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advice to novices.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42386B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Carry out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pH tests of water samples.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B5E26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Use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techniques that match one’s strengths.</w:t>
            </w:r>
          </w:p>
        </w:tc>
      </w:tr>
      <w:tr w:rsidR="00440FC7" w14:paraId="3621B032" w14:textId="77777777">
        <w:trPr>
          <w:trHeight w:val="1935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1AA0E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Analyze</w:t>
            </w:r>
          </w:p>
          <w:p w14:paraId="6975C110" w14:textId="77777777" w:rsidR="00440FC7" w:rsidRDefault="00440FC7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657C64D1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Break material into its foundational parts and determine how parts relate to one another and the overall structure or purpose.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4963E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Select </w:t>
            </w:r>
            <w:r>
              <w:rPr>
                <w:rFonts w:ascii="Nunito" w:eastAsia="Nunito" w:hAnsi="Nunito" w:cs="Nunito"/>
                <w:sz w:val="20"/>
                <w:szCs w:val="20"/>
              </w:rPr>
              <w:t>the most complete list of activities.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4AD14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Differentiate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high and low culture.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0A91E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Integrate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compliance with regulations.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496FF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Deconstruct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one’s biases.</w:t>
            </w:r>
          </w:p>
        </w:tc>
      </w:tr>
      <w:tr w:rsidR="00440FC7" w14:paraId="6B12402C" w14:textId="77777777">
        <w:trPr>
          <w:trHeight w:val="1005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7135CC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lastRenderedPageBreak/>
              <w:t>Evaluate</w:t>
            </w:r>
          </w:p>
          <w:p w14:paraId="23299F77" w14:textId="77777777" w:rsidR="00440FC7" w:rsidRDefault="00440FC7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0ED74F3B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Make judgments based on criteria and standards.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74A58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Check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for consistency among sources.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BC0FD9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Determine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relevance of results.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8D7AA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Judge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efficiency of sampling techniques.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67ACF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Reflect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on one’s progress.</w:t>
            </w:r>
          </w:p>
        </w:tc>
      </w:tr>
      <w:tr w:rsidR="00440FC7" w14:paraId="19A35F07" w14:textId="77777777">
        <w:trPr>
          <w:trHeight w:val="1470"/>
        </w:trPr>
        <w:tc>
          <w:tcPr>
            <w:tcW w:w="178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34C42F" w14:textId="77777777" w:rsidR="00440FC7" w:rsidRDefault="00000000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Create</w:t>
            </w:r>
          </w:p>
          <w:p w14:paraId="2156FDA4" w14:textId="77777777" w:rsidR="00440FC7" w:rsidRDefault="00440FC7">
            <w:pPr>
              <w:widowControl w:val="0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  <w:p w14:paraId="214D49C2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Put elements together to form a coherent whole; reorganize into a new pattern or structure.</w:t>
            </w:r>
          </w:p>
        </w:tc>
        <w:tc>
          <w:tcPr>
            <w:tcW w:w="145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134E67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Generate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 log of daily activities.</w:t>
            </w:r>
          </w:p>
        </w:tc>
        <w:tc>
          <w:tcPr>
            <w:tcW w:w="18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37E5D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Assemble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 team of experts.</w:t>
            </w:r>
          </w:p>
        </w:tc>
        <w:tc>
          <w:tcPr>
            <w:tcW w:w="2011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3916B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Design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efficient project workflow.</w:t>
            </w:r>
          </w:p>
        </w:tc>
        <w:tc>
          <w:tcPr>
            <w:tcW w:w="19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EBBB2" w14:textId="77777777" w:rsidR="00440FC7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Create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 a learning portfolio.</w:t>
            </w:r>
          </w:p>
        </w:tc>
      </w:tr>
    </w:tbl>
    <w:p w14:paraId="30482D95" w14:textId="77777777" w:rsidR="0071727A" w:rsidRDefault="0071727A" w:rsidP="00056AE1">
      <w:pPr>
        <w:rPr>
          <w:rFonts w:ascii="Nunito" w:eastAsia="Nunito" w:hAnsi="Nunito" w:cs="Nunito"/>
        </w:rPr>
      </w:pPr>
    </w:p>
    <w:sectPr w:rsidR="007172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196"/>
    <w:multiLevelType w:val="multilevel"/>
    <w:tmpl w:val="218C5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95F35"/>
    <w:multiLevelType w:val="multilevel"/>
    <w:tmpl w:val="89309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F0134"/>
    <w:multiLevelType w:val="multilevel"/>
    <w:tmpl w:val="A8708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37F00"/>
    <w:multiLevelType w:val="multilevel"/>
    <w:tmpl w:val="0494F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C0D77"/>
    <w:multiLevelType w:val="multilevel"/>
    <w:tmpl w:val="8634F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EE54C9"/>
    <w:multiLevelType w:val="multilevel"/>
    <w:tmpl w:val="C3F64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CE4E7B"/>
    <w:multiLevelType w:val="multilevel"/>
    <w:tmpl w:val="0328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1300CB"/>
    <w:multiLevelType w:val="multilevel"/>
    <w:tmpl w:val="4DD2D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655CD5"/>
    <w:multiLevelType w:val="multilevel"/>
    <w:tmpl w:val="4CB8A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F56149"/>
    <w:multiLevelType w:val="multilevel"/>
    <w:tmpl w:val="DCC64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9379A"/>
    <w:multiLevelType w:val="multilevel"/>
    <w:tmpl w:val="A266A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935978"/>
    <w:multiLevelType w:val="multilevel"/>
    <w:tmpl w:val="44EC6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840719">
    <w:abstractNumId w:val="7"/>
  </w:num>
  <w:num w:numId="2" w16cid:durableId="1054810412">
    <w:abstractNumId w:val="2"/>
  </w:num>
  <w:num w:numId="3" w16cid:durableId="434910066">
    <w:abstractNumId w:val="9"/>
  </w:num>
  <w:num w:numId="4" w16cid:durableId="402410827">
    <w:abstractNumId w:val="0"/>
  </w:num>
  <w:num w:numId="5" w16cid:durableId="1843861499">
    <w:abstractNumId w:val="1"/>
  </w:num>
  <w:num w:numId="6" w16cid:durableId="1430272118">
    <w:abstractNumId w:val="11"/>
  </w:num>
  <w:num w:numId="7" w16cid:durableId="1600525731">
    <w:abstractNumId w:val="10"/>
  </w:num>
  <w:num w:numId="8" w16cid:durableId="1944876644">
    <w:abstractNumId w:val="8"/>
  </w:num>
  <w:num w:numId="9" w16cid:durableId="539823998">
    <w:abstractNumId w:val="3"/>
  </w:num>
  <w:num w:numId="10" w16cid:durableId="987781949">
    <w:abstractNumId w:val="5"/>
  </w:num>
  <w:num w:numId="11" w16cid:durableId="1433282592">
    <w:abstractNumId w:val="4"/>
  </w:num>
  <w:num w:numId="12" w16cid:durableId="50247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C7"/>
    <w:rsid w:val="00056AE1"/>
    <w:rsid w:val="00440FC7"/>
    <w:rsid w:val="0071727A"/>
    <w:rsid w:val="008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4720"/>
  <w15:docId w15:val="{E6E92C16-FAD7-4EE1-A193-E478101A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Nunito" w:eastAsia="Nunito" w:hAnsi="Nunito" w:cs="Nunito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K.</dc:creator>
  <cp:lastModifiedBy>Kaliya, Bhavika</cp:lastModifiedBy>
  <cp:revision>3</cp:revision>
  <dcterms:created xsi:type="dcterms:W3CDTF">2023-11-30T10:29:00Z</dcterms:created>
  <dcterms:modified xsi:type="dcterms:W3CDTF">2023-11-30T10:38:00Z</dcterms:modified>
</cp:coreProperties>
</file>