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 is a social-purpose market-building enterprise designed to address a persistent market failure: global supply chains systematically undervalue living ecosystems and by suite, the rural communities that steward them.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of vivaTTerra is about integrating ecological integrity and economic viability into a single operating model. The company builds value-added agroforestry supply chains. These value chains are designed to not only re-empower producers, but consumers too. Producers effectively sell their fruits of labour, while consumers become aware of the tangible impact their purchasing decisions can have.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double TT is symbolic to grafting, the horticulture technique of joining two plants so they grow as one. Grafting is the essence of our shared value of ecological integrity and economic viability, and grafting is the essence of our shared responsibility;  where producers steward the land, consumers play an equally vital role in sustaining it.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rPr>
      </w:pPr>
      <w:bookmarkStart w:colFirst="0" w:colLast="0" w:name="_jjq0xixcbyd0" w:id="0"/>
      <w:bookmarkEnd w:id="0"/>
      <w:r w:rsidDel="00000000" w:rsidR="00000000" w:rsidRPr="00000000">
        <w:rPr>
          <w:rFonts w:ascii="Times New Roman" w:cs="Times New Roman" w:eastAsia="Times New Roman" w:hAnsi="Times New Roman"/>
          <w:rtl w:val="0"/>
        </w:rPr>
        <w:t xml:space="preserve">Problem Statement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commodity markets reward volume, short-term output, an asymmetric pricing power exercised by large incumbents. The result is the degradation of the entire ecosystem of the land. An important caveat to understanding the problem in its entirety is that in traditional rural environments, the people of the land are part of the ecosystem of the land. Major conventional commodity markets like industrial monoculture production, and large-scale logging or mining extraction, degrade the ecosystem. And the degradation of the ecosystem not only insinuates biodiversity loss, but rural poverty, income volatility and forced migration. On that account, the loss of traditional ecological knowledge and land sovereignty is compounded, resultantly disempowering collective local action and eroding communities’ capacity to organize, negotiate, and assert control over the trajectories shaping their land and livelihoods.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jc w:val="left"/>
        <w:rPr>
          <w:rFonts w:ascii="Times New Roman" w:cs="Times New Roman" w:eastAsia="Times New Roman" w:hAnsi="Times New Roman"/>
          <w:color w:val="000000"/>
        </w:rPr>
      </w:pPr>
      <w:bookmarkStart w:colFirst="0" w:colLast="0" w:name="_k9p9sct6h796" w:id="1"/>
      <w:bookmarkEnd w:id="1"/>
      <w:r w:rsidDel="00000000" w:rsidR="00000000" w:rsidRPr="00000000">
        <w:rPr>
          <w:rFonts w:ascii="Times New Roman" w:cs="Times New Roman" w:eastAsia="Times New Roman" w:hAnsi="Times New Roman"/>
          <w:color w:val="000000"/>
          <w:rtl w:val="0"/>
        </w:rPr>
        <w:t xml:space="preserve">3.0 vivaTTerra’s Solution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VivaTTerra’s was conceived through ground-up thinking. That is, the vivaTTerra solution is to support local economic self-determination through uplifting the market for local natural products of the land.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focuses on three integrated functions: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4"/>
        <w:rPr>
          <w:rFonts w:ascii="Times New Roman" w:cs="Times New Roman" w:eastAsia="Times New Roman" w:hAnsi="Times New Roman"/>
          <w:color w:val="000000"/>
        </w:rPr>
      </w:pPr>
      <w:bookmarkStart w:colFirst="0" w:colLast="0" w:name="_xcpz71oz5p7p" w:id="2"/>
      <w:bookmarkEnd w:id="2"/>
      <w:r w:rsidDel="00000000" w:rsidR="00000000" w:rsidRPr="00000000">
        <w:rPr>
          <w:rFonts w:ascii="Times New Roman" w:cs="Times New Roman" w:eastAsia="Times New Roman" w:hAnsi="Times New Roman"/>
          <w:color w:val="000000"/>
          <w:rtl w:val="0"/>
        </w:rPr>
        <w:t xml:space="preserve">3.1 </w:t>
      </w:r>
      <w:r w:rsidDel="00000000" w:rsidR="00000000" w:rsidRPr="00000000">
        <w:rPr>
          <w:rFonts w:ascii="Times New Roman" w:cs="Times New Roman" w:eastAsia="Times New Roman" w:hAnsi="Times New Roman"/>
          <w:color w:val="000000"/>
          <w:rtl w:val="0"/>
        </w:rPr>
        <w:t xml:space="preserve">Value-Added Supply Chains at Origin </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Sourcing from ecologically rich agroforestry systems</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processing and transformation</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 repeatable purchasing relationships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Emphasis on producer agency and long-term collaboration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4"/>
        <w:rPr>
          <w:rFonts w:ascii="Times New Roman" w:cs="Times New Roman" w:eastAsia="Times New Roman" w:hAnsi="Times New Roman"/>
          <w:color w:val="000000"/>
        </w:rPr>
      </w:pPr>
      <w:bookmarkStart w:colFirst="0" w:colLast="0" w:name="_nxysv41lo9bo" w:id="3"/>
      <w:bookmarkEnd w:id="3"/>
      <w:r w:rsidDel="00000000" w:rsidR="00000000" w:rsidRPr="00000000">
        <w:rPr>
          <w:rFonts w:ascii="Times New Roman" w:cs="Times New Roman" w:eastAsia="Times New Roman" w:hAnsi="Times New Roman"/>
          <w:color w:val="000000"/>
          <w:rtl w:val="0"/>
        </w:rPr>
        <w:t xml:space="preserve">3.2 </w:t>
      </w:r>
      <w:r w:rsidDel="00000000" w:rsidR="00000000" w:rsidRPr="00000000">
        <w:rPr>
          <w:rFonts w:ascii="Times New Roman" w:cs="Times New Roman" w:eastAsia="Times New Roman" w:hAnsi="Times New Roman"/>
          <w:color w:val="000000"/>
          <w:rtl w:val="0"/>
        </w:rPr>
        <w:t xml:space="preserve">Intelligent Market Allocation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selling one product into one channel, vivaTTerra allocates the same core ingredient across multiple markets, including:</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Foodservice and derived products</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Packaged retail</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Bulk distribution</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Direct-to-consumer</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channel diversification maximizes value per unit of production. </w:t>
      </w:r>
    </w:p>
    <w:p w:rsidR="00000000" w:rsidDel="00000000" w:rsidP="00000000" w:rsidRDefault="00000000" w:rsidRPr="00000000" w14:paraId="0000002C">
      <w:pPr>
        <w:pStyle w:val="Heading4"/>
        <w:rPr>
          <w:rFonts w:ascii="Times New Roman" w:cs="Times New Roman" w:eastAsia="Times New Roman" w:hAnsi="Times New Roman"/>
          <w:sz w:val="24"/>
          <w:szCs w:val="24"/>
        </w:rPr>
      </w:pPr>
      <w:bookmarkStart w:colFirst="0" w:colLast="0" w:name="_1e39wvqse5c7" w:id="4"/>
      <w:bookmarkEnd w:id="4"/>
      <w:r w:rsidDel="00000000" w:rsidR="00000000" w:rsidRPr="00000000">
        <w:rPr>
          <w:rFonts w:ascii="Times New Roman" w:cs="Times New Roman" w:eastAsia="Times New Roman" w:hAnsi="Times New Roman"/>
          <w:color w:val="000000"/>
          <w:rtl w:val="0"/>
        </w:rPr>
        <w:t xml:space="preserve">3.3 </w:t>
      </w:r>
      <w:r w:rsidDel="00000000" w:rsidR="00000000" w:rsidRPr="00000000">
        <w:rPr>
          <w:rFonts w:ascii="Times New Roman" w:cs="Times New Roman" w:eastAsia="Times New Roman" w:hAnsi="Times New Roman"/>
          <w:color w:val="000000"/>
          <w:rtl w:val="0"/>
        </w:rPr>
        <w:t xml:space="preserve">Systems-Driven Infrastructure </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is deployed not merely to move product, but to build: </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Quality assurance and food safety systems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Traceability and transparency mechanisms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Logistics and export readiness</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 and consumer education infrastructure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are repeatable, forming the foundation of future products, and sourced from different regions.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jc w:val="left"/>
        <w:rPr>
          <w:rFonts w:ascii="Times New Roman" w:cs="Times New Roman" w:eastAsia="Times New Roman" w:hAnsi="Times New Roman"/>
          <w:color w:val="000000"/>
        </w:rPr>
      </w:pPr>
      <w:bookmarkStart w:colFirst="0" w:colLast="0" w:name="_v0vqk5mfq0dt" w:id="5"/>
      <w:bookmarkEnd w:id="5"/>
      <w:r w:rsidDel="00000000" w:rsidR="00000000" w:rsidRPr="00000000">
        <w:rPr>
          <w:rFonts w:ascii="Times New Roman" w:cs="Times New Roman" w:eastAsia="Times New Roman" w:hAnsi="Times New Roman"/>
          <w:color w:val="000000"/>
          <w:rtl w:val="0"/>
        </w:rPr>
        <w:t xml:space="preserve">4.0 Theory of Change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ind w:left="0" w:right="600" w:firstLine="0"/>
        <w:rPr/>
      </w:pPr>
      <w:r w:rsidDel="00000000" w:rsidR="00000000" w:rsidRPr="00000000">
        <w:rPr>
          <w:rFonts w:ascii="Times New Roman" w:cs="Times New Roman" w:eastAsia="Times New Roman" w:hAnsi="Times New Roman"/>
          <w:sz w:val="24"/>
          <w:szCs w:val="24"/>
          <w:rtl w:val="0"/>
        </w:rPr>
        <w:t xml:space="preserve">The long-term risk in forest-based supply chains is not a lack of demand, it is the absence of investable, repeatable operating systems. VivaTTerra exists to close that gap.</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vivaTTerra’s model is grounded in a clear causal logic: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stewardship and sovereignty define who controls decisions; those decisions shape ecosystems; ecosystems determine what markets can value; and market alignment ultimately governs livelihood stability and long-term resilience. The rest of this section explains this very logic in greater depth.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stewardship and land sovereignty directly enable the management of land to focus on ecological health and biodiversity, because there is the choice to prioritize long-term continuity rather than short-term extraction.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Ecological health is a result of governance and agency, but to choose healthy ecosystems is for the economic value it provides. Nonetheless, markets need to be structured to recognize it. One major key value that vivaTTerra provides is to reward healthy ecosystems.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vivaTTerra, healthy ecosystems: </w:t>
      </w:r>
    </w:p>
    <w:p w:rsidR="00000000" w:rsidDel="00000000" w:rsidP="00000000" w:rsidRDefault="00000000" w:rsidRPr="00000000" w14:paraId="0000003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 higher quality, more resilient outputs</w:t>
      </w:r>
    </w:p>
    <w:p w:rsidR="00000000" w:rsidDel="00000000" w:rsidP="00000000" w:rsidRDefault="00000000" w:rsidRPr="00000000" w14:paraId="0000004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long-term supply volatility</w:t>
      </w:r>
    </w:p>
    <w:p w:rsidR="00000000" w:rsidDel="00000000" w:rsidP="00000000" w:rsidRDefault="00000000" w:rsidRPr="00000000" w14:paraId="0000004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ecological and regulatory risk</w:t>
      </w:r>
    </w:p>
    <w:p w:rsidR="00000000" w:rsidDel="00000000" w:rsidP="00000000" w:rsidRDefault="00000000" w:rsidRPr="00000000" w14:paraId="0000004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differentiated, value-added products.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market-recognized ecosystem health comes to the benefit of consumers and producers. Consumers have the opportunity to purchase nutritious, unique food products. Producers capture greater value per unit of land, with their income becoming more predictable and less volume-dependent, and there is no pressure to expand land use or degrade the ecosystems. The stable, predictable rural livelihoods reinforce long-term resilience, so key activities like long-term planning and reinvestment, intergenerational knowledge transfer, community cohesion and collective action become viable, and now both people and landscapes are better able to withstand shocks, be it climate, price volatility or policy changes.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rPr>
          <w:rFonts w:ascii="Times New Roman" w:cs="Times New Roman" w:eastAsia="Times New Roman" w:hAnsi="Times New Roman"/>
          <w:color w:val="000000"/>
        </w:rPr>
      </w:pPr>
      <w:bookmarkStart w:colFirst="0" w:colLast="0" w:name="_cwrpt4kieqzq" w:id="6"/>
      <w:bookmarkEnd w:id="6"/>
      <w:r w:rsidDel="00000000" w:rsidR="00000000" w:rsidRPr="00000000">
        <w:rPr>
          <w:rFonts w:ascii="Times New Roman" w:cs="Times New Roman" w:eastAsia="Times New Roman" w:hAnsi="Times New Roman"/>
          <w:color w:val="000000"/>
          <w:rtl w:val="0"/>
        </w:rPr>
        <w:t xml:space="preserve">5. Initial Proof of Concept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implementation of the model focuses on freeze-dried açaí powder from Carmen Pecha Bolivia in the TCO Tacana 1 territory. This region is subjected to major pressure for industrial sugarcane production, yet there is still land rich in açaí palms. This product serves as a vehicle to validate the model, as it is sourced from agroforestry systems, processed locally to capture value at origin, exported as a shelf-stable, high-value ingredient, and sold across diversified channels with differentiated pricing.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rPr>
          <w:rFonts w:ascii="Times New Roman" w:cs="Times New Roman" w:eastAsia="Times New Roman" w:hAnsi="Times New Roman"/>
          <w:color w:val="000000"/>
        </w:rPr>
      </w:pPr>
      <w:bookmarkStart w:colFirst="0" w:colLast="0" w:name="_68u50sg1yhtv" w:id="7"/>
      <w:bookmarkEnd w:id="7"/>
      <w:r w:rsidDel="00000000" w:rsidR="00000000" w:rsidRPr="00000000">
        <w:rPr>
          <w:rFonts w:ascii="Times New Roman" w:cs="Times New Roman" w:eastAsia="Times New Roman" w:hAnsi="Times New Roman"/>
          <w:color w:val="000000"/>
          <w:rtl w:val="0"/>
        </w:rPr>
        <w:t xml:space="preserve">6. Economic Orientation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 is designed: </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Achieve economic viability and positive margins</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returns appropriate for impact-aligned capital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is framed as enabling infrastructure, and returns are paired with risk mitigation through diversification, long-term supply stability, and measurable social and environmental impact.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color w:val="000000"/>
        </w:rPr>
      </w:pPr>
      <w:bookmarkStart w:colFirst="0" w:colLast="0" w:name="_heiw7baecvqo" w:id="8"/>
      <w:bookmarkEnd w:id="8"/>
      <w:r w:rsidDel="00000000" w:rsidR="00000000" w:rsidRPr="00000000">
        <w:rPr>
          <w:rFonts w:ascii="Times New Roman" w:cs="Times New Roman" w:eastAsia="Times New Roman" w:hAnsi="Times New Roman"/>
          <w:color w:val="000000"/>
          <w:rtl w:val="0"/>
        </w:rPr>
        <w:t xml:space="preserve">7. Differentiation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 differs from conventional impact sourcing models by: </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agency and predictability for producers, not just price premiums </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Prioritizing internal systems and traceability, before third-party certification </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Adapting narratives and value propositions across distinct market channels </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impact as economic infrastructure, not a marketing overlay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rFonts w:ascii="Times New Roman" w:cs="Times New Roman" w:eastAsia="Times New Roman" w:hAnsi="Times New Roman"/>
          <w:color w:val="000000"/>
        </w:rPr>
      </w:pPr>
      <w:bookmarkStart w:colFirst="0" w:colLast="0" w:name="_6ranusfq4w9s" w:id="9"/>
      <w:bookmarkEnd w:id="9"/>
      <w:r w:rsidDel="00000000" w:rsidR="00000000" w:rsidRPr="00000000">
        <w:rPr>
          <w:rFonts w:ascii="Times New Roman" w:cs="Times New Roman" w:eastAsia="Times New Roman" w:hAnsi="Times New Roman"/>
          <w:color w:val="000000"/>
          <w:rtl w:val="0"/>
        </w:rPr>
        <w:t xml:space="preserve">8. Current Stage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 is in the foundational build phase, focused on: </w:t>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economic and operational systems</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first supply chains and market channels</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aligned impact investors and institutional partners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seeking strategic, impact-aligned capital to build the core systems required for repeatable, responsible agroforestry supply chains.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is allocated toward infrastructure (compliance, quality assurance, logistics, traceability, and market access) rather than one-off transactions.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allows us to validate the model with a first product, then replicate it across additional products and regions without proportional increases in risk or capital intensity.</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vivaTTerra is designed to generate commercial returns consistent with patient, impact-aligned capital, while prioritizing durability, governance, and long-term resilience over short-term growth.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