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Times New Roman" w:cs="Times New Roman" w:eastAsia="Times New Roman" w:hAnsi="Times New Roman"/>
          <w:b/>
          <w:bCs/>
          <w:color w:val="000000"/>
          <w:sz w:val="52"/>
          <w:szCs w:val="52"/>
        </w:rPr>
        <w:t xml:space="preserve">Predicting Student Dropout in Online Higher Education:</w:t>
      </w:r>
    </w:p>
    <w:p>
      <w:pPr>
        <w:spacing w:after="200" w:before="0"/>
        <w:jc w:val="center"/>
      </w:pPr>
      <w:r>
        <w:rPr>
          <w:rFonts w:ascii="Times New Roman" w:cs="Times New Roman" w:eastAsia="Times New Roman" w:hAnsi="Times New Roman"/>
          <w:b w:val="false"/>
          <w:bCs w:val="false"/>
          <w:i/>
          <w:iCs/>
          <w:color w:val="1A1A1A"/>
          <w:sz w:val="40"/>
          <w:szCs w:val="40"/>
        </w:rPr>
        <w:t xml:space="preserve">A Machine Learning Approach Using the Open University Learning Analytics Dataset</w:t>
      </w:r>
    </w:p>
    <w:p>
      <w:pPr>
        <w:pBdr>
          <w:bottom w:val="single" w:color="AAAAAA" w:sz="4"/>
        </w:pBdr>
        <w:spacing w:after="80" w:before="80"/>
      </w:pPr>
    </w:p>
    <w:p>
      <w:pPr>
        <w:spacing w:after="0" w:before="160"/>
      </w:pPr>
      <w:r>
        <w:t xml:space="preserve"/>
      </w:r>
    </w:p>
    <w:p>
      <w:pPr>
        <w:spacing w:after="60" w:before="0"/>
        <w:jc w:val="center"/>
      </w:pPr>
      <w:r>
        <w:rPr>
          <w:rFonts w:ascii="Times New Roman" w:cs="Times New Roman" w:eastAsia="Times New Roman" w:hAnsi="Times New Roman"/>
          <w:color w:val="1A1A1A"/>
          <w:sz w:val="24"/>
          <w:szCs w:val="24"/>
        </w:rPr>
        <w:t xml:space="preserve">[Author Name]</w:t>
      </w:r>
    </w:p>
    <w:p>
      <w:pPr>
        <w:spacing w:after="60" w:before="0"/>
        <w:jc w:val="center"/>
      </w:pPr>
      <w:r>
        <w:rPr>
          <w:rFonts w:ascii="Times New Roman" w:cs="Times New Roman" w:eastAsia="Times New Roman" w:hAnsi="Times New Roman"/>
          <w:i/>
          <w:iCs/>
          <w:color w:val="444444"/>
          <w:sz w:val="22"/>
          <w:szCs w:val="22"/>
        </w:rPr>
        <w:t xml:space="preserve">Department of Computer Science / Educational Technology</w:t>
      </w:r>
    </w:p>
    <w:p>
      <w:pPr>
        <w:spacing w:after="60" w:before="0"/>
        <w:jc w:val="center"/>
      </w:pPr>
      <w:r>
        <w:rPr>
          <w:rFonts w:ascii="Times New Roman" w:cs="Times New Roman" w:eastAsia="Times New Roman" w:hAnsi="Times New Roman"/>
          <w:i/>
          <w:iCs/>
          <w:color w:val="444444"/>
          <w:sz w:val="22"/>
          <w:szCs w:val="22"/>
        </w:rPr>
        <w:t xml:space="preserve">[Institution Name]</w:t>
      </w:r>
    </w:p>
    <w:p>
      <w:pPr>
        <w:spacing w:after="0" w:before="80"/>
      </w:pPr>
      <w:r>
        <w:t xml:space="preserve"/>
      </w:r>
    </w:p>
    <w:p>
      <w:pPr>
        <w:spacing w:after="60" w:before="0"/>
        <w:jc w:val="center"/>
      </w:pPr>
      <w:r>
        <w:rPr>
          <w:rFonts w:ascii="Times New Roman" w:cs="Times New Roman" w:eastAsia="Times New Roman" w:hAnsi="Times New Roman"/>
          <w:color w:val="444444"/>
          <w:sz w:val="22"/>
          <w:szCs w:val="22"/>
        </w:rPr>
        <w:t xml:space="preserve">Submitted: June 2026</w:t>
      </w:r>
    </w:p>
    <w:p>
      <w:pPr>
        <w:spacing w:after="0" w:before="160"/>
      </w:pPr>
      <w:r>
        <w:t xml:space="preserve"/>
      </w:r>
    </w:p>
    <w:p>
      <w:pPr>
        <w:pBdr>
          <w:bottom w:val="single" w:color="AAAAAA" w:sz="4"/>
        </w:pBdr>
        <w:spacing w:after="80" w:before="80"/>
      </w:pPr>
    </w:p>
    <w:p>
      <w:pPr>
        <w:spacing w:after="0" w:before="1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CCCCC" w:sz="1"/>
              <w:left w:val="single" w:color="CCCCCC" w:sz="1"/>
              <w:bottom w:val="single" w:color="CCCCCC" w:sz="1"/>
              <w:right w:val="single" w:color="CCCCCC" w:sz="1"/>
            </w:tcBorders>
            <w:shd w:fill="EEF3FA" w:val="clear"/>
            <w:tcMar>
              <w:top w:type="dxa" w:w="200"/>
              <w:left w:type="dxa" w:w="360"/>
              <w:bottom w:type="dxa" w:w="200"/>
              <w:right w:type="dxa" w:w="360"/>
            </w:tcMar>
          </w:tcPr>
          <w:p>
            <w:pPr>
              <w:spacing w:after="80" w:before="0"/>
            </w:pPr>
            <w:r>
              <w:rPr>
                <w:rFonts w:ascii="Arial" w:cs="Arial" w:eastAsia="Arial" w:hAnsi="Arial"/>
                <w:b/>
                <w:bCs/>
                <w:color w:val="1F497D"/>
                <w:sz w:val="22"/>
                <w:szCs w:val="22"/>
              </w:rPr>
              <w:t xml:space="preserve">ABSTRACT</w:t>
            </w:r>
          </w:p>
          <w:p>
            <w:pPr>
              <w:spacing w:after="80" w:before="0"/>
            </w:pPr>
            <w:r>
              <w:rPr>
                <w:rFonts w:ascii="Times New Roman" w:cs="Times New Roman" w:eastAsia="Times New Roman" w:hAnsi="Times New Roman"/>
                <w:color w:val="1A1A1A"/>
                <w:sz w:val="24"/>
                <w:szCs w:val="24"/>
              </w:rPr>
              <w:t xml:space="preserve">Student dropout represents one of the most persistent challenges in online and distance higher education, carrying significant social, economic, and institutional costs. This study employs the Open University Learning Analytics Dataset (OULAD) — comprising over 10.6 million virtual learning environment (VLE) interaction records across 32,593 student-course enrolments — to develop and evaluate machine learning models for early dropout prediction. Through systematic feature engineering spanning behavioral engagement metrics, academic performance indicators, and registration lifecycle signals, a Random Forest classifier was trained and achieved 84.5% accuracy with balanced class weighting. Feature importance analysis identified study duration, total VLE click volume, and average assessment score as the three strongest predictors of student withdrawal. A risk stratification framework classifies students into Low, Medium, and High dropout risk tiers to enable targeted early intervention. Results are validated through confusion matrix analysis, ROC-AUC scoring, and cross-class precision/recall reporting. Findings contribute empirical evidence toward predictive learning analytics in open and distance education contexts.</w:t>
            </w:r>
          </w:p>
          <w:p>
            <w:pPr>
              <w:spacing w:after="0" w:before="80"/>
            </w:pPr>
            <w:r>
              <w:rPr>
                <w:rFonts w:ascii="Times New Roman" w:cs="Times New Roman" w:eastAsia="Times New Roman" w:hAnsi="Times New Roman"/>
                <w:b/>
                <w:bCs/>
                <w:color w:val="1A1A1A"/>
                <w:sz w:val="24"/>
                <w:szCs w:val="24"/>
              </w:rPr>
              <w:t xml:space="preserve">Keywords: </w:t>
            </w:r>
            <w:r>
              <w:rPr>
                <w:rFonts w:ascii="Times New Roman" w:cs="Times New Roman" w:eastAsia="Times New Roman" w:hAnsi="Times New Roman"/>
                <w:color w:val="1A1A1A"/>
                <w:sz w:val="24"/>
                <w:szCs w:val="24"/>
              </w:rPr>
              <w:t xml:space="preserve">student dropout prediction, learning analytics, random forest, OULAD, VLE engagement, educational data mining, at-risk identification, distance education</w:t>
            </w:r>
          </w:p>
        </w:tc>
      </w:tr>
    </w:tbl>
    <w:p>
      <w:pPr>
        <w:pageBreakBefore/>
      </w:pPr>
      <w:r>
        <w:t xml:space="preserve"/>
      </w:r>
    </w:p>
    <w:p>
      <w:pPr>
        <w:pStyle w:val="Heading1"/>
        <w:spacing w:after="120" w:before="360"/>
      </w:pPr>
      <w:r>
        <w:rPr>
          <w:rFonts w:ascii="Arial" w:cs="Arial" w:eastAsia="Arial" w:hAnsi="Arial"/>
          <w:b/>
          <w:bCs/>
          <w:color w:val="000000"/>
          <w:sz w:val="24"/>
          <w:szCs w:val="24"/>
        </w:rPr>
        <w:t xml:space="preserve">1. INTRODUCTION</w:t>
      </w:r>
    </w:p>
    <w:p>
      <w:pPr>
        <w:spacing w:after="160" w:before="0"/>
        <w:ind w:firstLine="720"/>
      </w:pPr>
      <w:r>
        <w:rPr>
          <w:rFonts w:ascii="Times New Roman" w:cs="Times New Roman" w:eastAsia="Times New Roman" w:hAnsi="Times New Roman"/>
          <w:color w:val="1A1A1A"/>
          <w:sz w:val="24"/>
          <w:szCs w:val="24"/>
        </w:rPr>
        <w:t xml:space="preserve">The rapid expansion of online and distance education has democratised access to higher learning, enrolling millions of students who may not participate in traditional campus-based programmes. Yet this expansion is shadowed by a persistent and well-documented challenge: dropout rates in online courses routinely exceed those of face-to-face equivalents, with some large-scale open courses recording withdrawal rates above 80% (Jordan, 2014). Student dropout is not merely an institutional metric; it carries substantial consequences for the individual learner — in lost time, financial cost, and diminished confidence — as well as for the institution, which bears reputational and financial impacts (Tinto, 1975).</w:t>
      </w:r>
    </w:p>
    <w:p>
      <w:pPr>
        <w:spacing w:after="160" w:before="0"/>
        <w:ind w:firstLine="720"/>
      </w:pPr>
      <w:r>
        <w:rPr>
          <w:rFonts w:ascii="Times New Roman" w:cs="Times New Roman" w:eastAsia="Times New Roman" w:hAnsi="Times New Roman"/>
          <w:color w:val="1A1A1A"/>
          <w:sz w:val="24"/>
          <w:szCs w:val="24"/>
        </w:rPr>
        <w:t xml:space="preserve">Learning management systems and virtual learning environments generate unprecedented volumes of behavioural data as students interact with course materials, submit assessments, and navigate institutional portals. This data richness has catalysed the field of learning analytics — the measurement, collection, analysis, and reporting of data about learners in order to understand and optimise learning and the environments in which it occurs (Siemens &amp; Long, 2011). Within learning analytics, predictive modelling for early identification of at-risk students has attracted significant scholarly attention over the past decade.</w:t>
      </w:r>
    </w:p>
    <w:p>
      <w:pPr>
        <w:spacing w:after="160" w:before="0"/>
        <w:ind w:firstLine="720"/>
      </w:pPr>
      <w:r>
        <w:rPr>
          <w:rFonts w:ascii="Times New Roman" w:cs="Times New Roman" w:eastAsia="Times New Roman" w:hAnsi="Times New Roman"/>
          <w:color w:val="1A1A1A"/>
          <w:sz w:val="24"/>
          <w:szCs w:val="24"/>
        </w:rPr>
        <w:t xml:space="preserve">The Open University Learning Analytics Dataset (OULAD), published by Kuzilek et al. (2017), provides one of the most comprehensive publicly available resources for this line of inquiry. It captures the full study lifecycle of students enrolled at the UK Open University across multiple course modules and presentations, including demographic characteristics, assessment records, registration histories, and fine-grained VLE interaction logs. With over 10.6 million interaction records, the dataset enables a level of behavioural modelling that earlier educational datasets could not support.</w:t>
      </w:r>
    </w:p>
    <w:p>
      <w:pPr>
        <w:spacing w:after="160" w:before="0"/>
        <w:ind w:firstLine="720"/>
      </w:pPr>
      <w:r>
        <w:rPr>
          <w:rFonts w:ascii="Times New Roman" w:cs="Times New Roman" w:eastAsia="Times New Roman" w:hAnsi="Times New Roman"/>
          <w:color w:val="1A1A1A"/>
          <w:sz w:val="24"/>
          <w:szCs w:val="24"/>
        </w:rPr>
        <w:t xml:space="preserve">This paper makes the following contributions. First, it constructs a rich analytical base table by integrating OULAD's seven relational tables through principled feature aggregation and engineering. Second, it benchmarks Logistic Regression against a Random Forest ensemble classifier for binary dropout prediction. Third, it introduces a three-tier risk stratification framework based on predicted dropout probability, designed to support practical administrative intervention. Fourth, it provides a thorough evaluation of model performance using accuracy, precision, recall, F1-score, confusion matrix analysis, and ROC-AUC. Finally, it situates the empirical findings within the broader literature on educational data mining and student retention.</w:t>
      </w:r>
    </w:p>
    <w:p>
      <w:pPr>
        <w:spacing w:after="0" w:before="80"/>
      </w:pPr>
      <w:r>
        <w:t xml:space="preserve"/>
      </w:r>
    </w:p>
    <w:p>
      <w:pPr>
        <w:spacing w:after="160" w:before="0"/>
      </w:pPr>
      <w:r>
        <w:rPr>
          <w:rFonts w:ascii="Times New Roman" w:cs="Times New Roman" w:eastAsia="Times New Roman" w:hAnsi="Times New Roman"/>
          <w:color w:val="1A1A1A"/>
          <w:sz w:val="24"/>
          <w:szCs w:val="24"/>
        </w:rPr>
        <w:t xml:space="preserve">The remainder of this paper is structured as follows. Section 2 reviews related work. Section 3 describes the dataset and preprocessing pipeline. Section 4 details feature engineering and model development. Section 5 presents results and evaluation. Section 6 discusses implications. Section 7 concludes and outlines future directions.</w:t>
      </w:r>
    </w:p>
    <w:p>
      <w:pPr>
        <w:spacing w:after="0" w:before="200"/>
      </w:pPr>
      <w:r>
        <w:t xml:space="preserve"/>
      </w:r>
    </w:p>
    <w:p>
      <w:pPr>
        <w:pStyle w:val="Heading1"/>
        <w:spacing w:after="120" w:before="360"/>
      </w:pPr>
      <w:r>
        <w:rPr>
          <w:rFonts w:ascii="Arial" w:cs="Arial" w:eastAsia="Arial" w:hAnsi="Arial"/>
          <w:b/>
          <w:bCs/>
          <w:color w:val="000000"/>
          <w:sz w:val="24"/>
          <w:szCs w:val="24"/>
        </w:rPr>
        <w:t xml:space="preserve">2. RELATED WORK</w:t>
      </w:r>
    </w:p>
    <w:p>
      <w:pPr>
        <w:spacing w:after="160" w:before="0"/>
        <w:ind w:firstLine="720"/>
      </w:pPr>
      <w:r>
        <w:rPr>
          <w:rFonts w:ascii="Times New Roman" w:cs="Times New Roman" w:eastAsia="Times New Roman" w:hAnsi="Times New Roman"/>
          <w:color w:val="1A1A1A"/>
          <w:sz w:val="24"/>
          <w:szCs w:val="24"/>
        </w:rPr>
        <w:t xml:space="preserve">The prediction of student academic outcomes using institutional data has a substantial history in educational research, long predating the learning analytics movement. Tinto's (1975) integration theory identified academic and social integration as the key mechanisms through which students commit to or withdraw from higher education. Bean's (1980) attrition model extended this framework to include organisational factors. These sociological foundations informed subsequent computational approaches as institutional databases became tractable for data mining.</w:t>
      </w:r>
    </w:p>
    <w:p>
      <w:pPr>
        <w:pStyle w:val="Heading2"/>
        <w:spacing w:after="80" w:before="240"/>
      </w:pPr>
      <w:r>
        <w:rPr>
          <w:rFonts w:ascii="Arial" w:cs="Arial" w:eastAsia="Arial" w:hAnsi="Arial"/>
          <w:b/>
          <w:bCs/>
          <w:i/>
          <w:iCs/>
          <w:color w:val="1A1A1A"/>
          <w:sz w:val="22"/>
          <w:szCs w:val="22"/>
        </w:rPr>
        <w:t xml:space="preserve">2.1 Educational Data Mining and Learning Analytics</w:t>
      </w:r>
    </w:p>
    <w:p>
      <w:pPr>
        <w:spacing w:after="160" w:before="0"/>
        <w:ind w:firstLine="720"/>
      </w:pPr>
      <w:r>
        <w:rPr>
          <w:rFonts w:ascii="Times New Roman" w:cs="Times New Roman" w:eastAsia="Times New Roman" w:hAnsi="Times New Roman"/>
          <w:color w:val="1A1A1A"/>
          <w:sz w:val="24"/>
          <w:szCs w:val="24"/>
        </w:rPr>
        <w:t xml:space="preserve">Romero and Ventura (2010) provided a comprehensive survey of data mining applications in e-learning, cataloguing approaches ranging from clustering of learning styles to classification of academic performance. They identified decision trees, neural networks, and Bayesian networks as the most frequently applied techniques. Baker and Inventado (2014) later distinguished educational data mining — which typically seeks generalised models — from learning analytics, which emphasises real-time personalisation and intervention.</w:t>
      </w:r>
    </w:p>
    <w:p>
      <w:pPr>
        <w:spacing w:after="160" w:before="0"/>
        <w:ind w:firstLine="720"/>
      </w:pPr>
      <w:r>
        <w:rPr>
          <w:rFonts w:ascii="Times New Roman" w:cs="Times New Roman" w:eastAsia="Times New Roman" w:hAnsi="Times New Roman"/>
          <w:color w:val="1A1A1A"/>
          <w:sz w:val="24"/>
          <w:szCs w:val="24"/>
        </w:rPr>
        <w:t xml:space="preserve">Predictive modelling for dropout has emerged as a particularly active subfield. Kotsiantis et al. (2004) applied machine learning to predict student performance in distance education, demonstrating that demographic and prior academic data could meaningfully distinguish at-risk learners before course completion. Dekker et al. (2009) applied decision trees and random forests to engineering student data, identifying first-year performance as the dominant predictor of eventual dropout.</w:t>
      </w:r>
    </w:p>
    <w:p>
      <w:pPr>
        <w:pStyle w:val="Heading2"/>
        <w:spacing w:after="80" w:before="240"/>
      </w:pPr>
      <w:r>
        <w:rPr>
          <w:rFonts w:ascii="Arial" w:cs="Arial" w:eastAsia="Arial" w:hAnsi="Arial"/>
          <w:b/>
          <w:bCs/>
          <w:i/>
          <w:iCs/>
          <w:color w:val="1A1A1A"/>
          <w:sz w:val="22"/>
          <w:szCs w:val="22"/>
        </w:rPr>
        <w:t xml:space="preserve">2.2 VLE Engagement as a Predictor</w:t>
      </w:r>
    </w:p>
    <w:p>
      <w:pPr>
        <w:spacing w:after="160" w:before="0"/>
        <w:ind w:firstLine="720"/>
      </w:pPr>
      <w:r>
        <w:rPr>
          <w:rFonts w:ascii="Times New Roman" w:cs="Times New Roman" w:eastAsia="Times New Roman" w:hAnsi="Times New Roman"/>
          <w:color w:val="1A1A1A"/>
          <w:sz w:val="24"/>
          <w:szCs w:val="24"/>
        </w:rPr>
        <w:t xml:space="preserve">The availability of VLE interaction logs has substantially enriched predictive models. Agudo-Peregrina et al. (2014) demonstrated that interaction frequency with learning materials was a stronger predictor of academic success than social interaction metrics. Coates (2007) established a theoretical link between student engagement and learning outcomes, laying groundwork for the use of system-generated engagement proxies in predictive analytics.</w:t>
      </w:r>
    </w:p>
    <w:p>
      <w:pPr>
        <w:spacing w:after="160" w:before="0"/>
        <w:ind w:firstLine="720"/>
      </w:pPr>
      <w:r>
        <w:rPr>
          <w:rFonts w:ascii="Times New Roman" w:cs="Times New Roman" w:eastAsia="Times New Roman" w:hAnsi="Times New Roman"/>
          <w:color w:val="1A1A1A"/>
          <w:sz w:val="24"/>
          <w:szCs w:val="24"/>
        </w:rPr>
        <w:t xml:space="preserve">Specifically using OULAD, Kuzilek et al. (2017) presented baseline analyses showing that VLE click activity in the first two weeks of study was predictive of final outcomes. Hlosta et al. (2017) built upon this with the Ouroboros model, demonstrating weekly at-risk identification with recall rates above 70% from early VLE data alone. These findings motivate the emphasis on engineered VLE engagement features in the present study.</w:t>
      </w:r>
    </w:p>
    <w:p>
      <w:pPr>
        <w:pStyle w:val="Heading2"/>
        <w:spacing w:after="80" w:before="240"/>
      </w:pPr>
      <w:r>
        <w:rPr>
          <w:rFonts w:ascii="Arial" w:cs="Arial" w:eastAsia="Arial" w:hAnsi="Arial"/>
          <w:b/>
          <w:bCs/>
          <w:i/>
          <w:iCs/>
          <w:color w:val="1A1A1A"/>
          <w:sz w:val="22"/>
          <w:szCs w:val="22"/>
        </w:rPr>
        <w:t xml:space="preserve">2.3 Machine Learning for Dropout Prediction</w:t>
      </w:r>
    </w:p>
    <w:p>
      <w:pPr>
        <w:spacing w:after="160" w:before="0"/>
        <w:ind w:firstLine="720"/>
      </w:pPr>
      <w:r>
        <w:rPr>
          <w:rFonts w:ascii="Times New Roman" w:cs="Times New Roman" w:eastAsia="Times New Roman" w:hAnsi="Times New Roman"/>
          <w:color w:val="1A1A1A"/>
          <w:sz w:val="24"/>
          <w:szCs w:val="24"/>
        </w:rPr>
        <w:t xml:space="preserve">A broad range of classifiers has been applied to the dropout prediction problem. Logistic regression serves as a well-understood baseline with interpretable coefficients (Delen, 2010). Decision tree ensembles — particularly random forests and gradient boosting — consistently achieve superior predictive performance across educational datasets (Amrieh et al., 2016). Recurrent neural networks have shown promise for modelling the temporal dynamics of student engagement (Fei &amp; Liu, 2015), though they require substantially more data and engineering effort.</w:t>
      </w:r>
    </w:p>
    <w:p>
      <w:pPr>
        <w:spacing w:after="160" w:before="0"/>
        <w:ind w:firstLine="720"/>
      </w:pPr>
      <w:r>
        <w:rPr>
          <w:rFonts w:ascii="Times New Roman" w:cs="Times New Roman" w:eastAsia="Times New Roman" w:hAnsi="Times New Roman"/>
          <w:color w:val="1A1A1A"/>
          <w:sz w:val="24"/>
          <w:szCs w:val="24"/>
        </w:rPr>
        <w:t xml:space="preserve">Class imbalance — where non-dropout students substantially outnumber dropouts, or vice versa — is a recurring challenge in this literature. Oversampling techniques such as SMOTE (Chawla et al., 2002) and cost-sensitive learning with balanced class weights are both commonly applied remedies. The present study employs balanced class weighting within the Random Forest, consistent with best practices reported in recent surveys (Kotsiantis, 2013).</w:t>
      </w:r>
    </w:p>
    <w:p>
      <w:pPr>
        <w:pStyle w:val="Heading2"/>
        <w:spacing w:after="80" w:before="240"/>
      </w:pPr>
      <w:r>
        <w:rPr>
          <w:rFonts w:ascii="Arial" w:cs="Arial" w:eastAsia="Arial" w:hAnsi="Arial"/>
          <w:b/>
          <w:bCs/>
          <w:i/>
          <w:iCs/>
          <w:color w:val="1A1A1A"/>
          <w:sz w:val="22"/>
          <w:szCs w:val="22"/>
        </w:rPr>
        <w:t xml:space="preserve">2.4 Risk Stratification for Intervention</w:t>
      </w:r>
    </w:p>
    <w:p>
      <w:pPr>
        <w:spacing w:after="160" w:before="0"/>
        <w:ind w:firstLine="720"/>
      </w:pPr>
      <w:r>
        <w:rPr>
          <w:rFonts w:ascii="Times New Roman" w:cs="Times New Roman" w:eastAsia="Times New Roman" w:hAnsi="Times New Roman"/>
          <w:color w:val="1A1A1A"/>
          <w:sz w:val="24"/>
          <w:szCs w:val="24"/>
        </w:rPr>
        <w:t xml:space="preserve">Beyond binary prediction, several studies have proposed tiered risk classifications to support practical intervention. Arnold and Pistilli (2012) developed the Course Signals system at Purdue University, which used predictive scores to assign students to traffic-light risk categories and trigger instructor notifications. Evaluation of Course Signals suggested positive effects on student retention. More recent work by Essa and Ayad (2012) demonstrated that probability-based risk scoring could be integrated into learning management system dashboards to support adviser workflows. The present study operationalises a similar three-tier framework applied to OULAD predictions.</w:t>
      </w:r>
    </w:p>
    <w:p>
      <w:pPr>
        <w:spacing w:after="0" w:before="200"/>
      </w:pPr>
      <w:r>
        <w:t xml:space="preserve"/>
      </w:r>
    </w:p>
    <w:p>
      <w:pPr>
        <w:pStyle w:val="Heading1"/>
        <w:spacing w:after="120" w:before="360"/>
      </w:pPr>
      <w:r>
        <w:rPr>
          <w:rFonts w:ascii="Arial" w:cs="Arial" w:eastAsia="Arial" w:hAnsi="Arial"/>
          <w:b/>
          <w:bCs/>
          <w:color w:val="000000"/>
          <w:sz w:val="24"/>
          <w:szCs w:val="24"/>
        </w:rPr>
        <w:t xml:space="preserve">3. DATASET AND PREPROCESSING</w:t>
      </w:r>
    </w:p>
    <w:p>
      <w:pPr>
        <w:pStyle w:val="Heading2"/>
        <w:spacing w:after="80" w:before="240"/>
      </w:pPr>
      <w:r>
        <w:rPr>
          <w:rFonts w:ascii="Arial" w:cs="Arial" w:eastAsia="Arial" w:hAnsi="Arial"/>
          <w:b/>
          <w:bCs/>
          <w:i/>
          <w:iCs/>
          <w:color w:val="1A1A1A"/>
          <w:sz w:val="22"/>
          <w:szCs w:val="22"/>
        </w:rPr>
        <w:t xml:space="preserve">3.1 The Open University Learning Analytics Dataset</w:t>
      </w:r>
    </w:p>
    <w:p>
      <w:pPr>
        <w:spacing w:after="160" w:before="0"/>
        <w:ind w:firstLine="720"/>
      </w:pPr>
      <w:r>
        <w:rPr>
          <w:rFonts w:ascii="Times New Roman" w:cs="Times New Roman" w:eastAsia="Times New Roman" w:hAnsi="Times New Roman"/>
          <w:color w:val="1A1A1A"/>
          <w:sz w:val="24"/>
          <w:szCs w:val="24"/>
        </w:rPr>
        <w:t xml:space="preserve">The OULAD (Kuzilek et al., 2017) covers student activity across 22 course presentations of 7 modules offered by the UK Open University between 2013 and 2014. The dataset is distributed as seven relational tables in CSV format and is publicly available for research use. Table 1 summarises the tables and their key attributes.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Content</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 (approx.)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studentInfo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Demographics, course enrolment, final result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32,593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studentVle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Per-day VLE resource interaction counts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10,655,280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studentAssessment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Assessment submission scores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173,912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studentRegistration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Registration and withdrawal dates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32,593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assessments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Assessment metadata and deadlines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206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courses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Module length and presentation period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22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vle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VLE resource types and week availability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6,364</w:t>
            </w:r>
          </w:p>
        </w:tc>
      </w:tr>
    </w:tbl>
    <w:p>
      <w:pPr>
        <w:spacing w:after="160" w:before="60"/>
        <w:jc w:val="center"/>
      </w:pPr>
      <w:r>
        <w:rPr>
          <w:rFonts w:ascii="Times New Roman" w:cs="Times New Roman" w:eastAsia="Times New Roman" w:hAnsi="Times New Roman"/>
          <w:i/>
          <w:iCs/>
          <w:color w:val="444444"/>
          <w:sz w:val="20"/>
          <w:szCs w:val="20"/>
        </w:rPr>
        <w:t xml:space="preserve">Table 1. OULAD table descriptions and approximate row counts.</w:t>
      </w:r>
    </w:p>
    <w:p>
      <w:pPr>
        <w:spacing w:after="160" w:before="0"/>
        <w:ind w:firstLine="720"/>
      </w:pPr>
      <w:r>
        <w:rPr>
          <w:rFonts w:ascii="Times New Roman" w:cs="Times New Roman" w:eastAsia="Times New Roman" w:hAnsi="Times New Roman"/>
          <w:color w:val="1A1A1A"/>
          <w:sz w:val="24"/>
          <w:szCs w:val="24"/>
        </w:rPr>
        <w:t xml:space="preserve">The target variable for this study is a binary dropout indicator derived from the studentRegistration table. A student is considered to have dropped out if their date_unregistration field is populated, indicating formal withdrawal from the course prior to completion. Of the 32,593 student-course enrolments, approximately 26.5% carry a non-null withdrawal date, creating a moderate class imbalance that informs model selection and evaluation strategy.</w:t>
      </w:r>
    </w:p>
    <w:p>
      <w:pPr>
        <w:pStyle w:val="Heading2"/>
        <w:spacing w:after="80" w:before="240"/>
      </w:pPr>
      <w:r>
        <w:rPr>
          <w:rFonts w:ascii="Arial" w:cs="Arial" w:eastAsia="Arial" w:hAnsi="Arial"/>
          <w:b/>
          <w:bCs/>
          <w:i/>
          <w:iCs/>
          <w:color w:val="1A1A1A"/>
          <w:sz w:val="22"/>
          <w:szCs w:val="22"/>
        </w:rPr>
        <w:t xml:space="preserve">3.2 Data Cleaning</w:t>
      </w:r>
    </w:p>
    <w:p>
      <w:pPr>
        <w:spacing w:after="160" w:before="0"/>
        <w:ind w:firstLine="720"/>
      </w:pPr>
      <w:r>
        <w:rPr>
          <w:rFonts w:ascii="Times New Roman" w:cs="Times New Roman" w:eastAsia="Times New Roman" w:hAnsi="Times New Roman"/>
          <w:color w:val="1A1A1A"/>
          <w:sz w:val="24"/>
          <w:szCs w:val="24"/>
        </w:rPr>
        <w:t xml:space="preserve">Several data quality issues were addressed prior to analysis. The OULAD dataset encodes missing numeric values with the sentinel string '?', which was replaced with NumPy NaN throughout all tables to enable proper missing-value handling by pandas and scikit-learn. Key numeric columns — including assessment scores, VLE week ranges, and registration dates — were stored as object-typed strings and required explicit conversion via pd.to_numeric(..., errors='coerce'). Coercion failures (non-numeric entries) were treated as missing values.</w:t>
      </w:r>
    </w:p>
    <w:p>
      <w:pPr>
        <w:spacing w:after="160" w:before="0"/>
        <w:ind w:firstLine="720"/>
      </w:pPr>
      <w:r>
        <w:rPr>
          <w:rFonts w:ascii="Times New Roman" w:cs="Times New Roman" w:eastAsia="Times New Roman" w:hAnsi="Times New Roman"/>
          <w:color w:val="1A1A1A"/>
          <w:sz w:val="24"/>
          <w:szCs w:val="24"/>
        </w:rPr>
        <w:t xml:space="preserve">The imd_band column in studentInfo, which encodes Index of Multiple Deprivation decile ranges as strings, contained approximately 1.1% missing entries. These were imputed with the label 'Unknown' to preserve the categorical structure and avoid listwise deletion. Remaining numeric missing values in the master dataset were imputed using column-wise median imputation, which is robust to outliers and appropriate for the skewed distributions observed in engagement variables such as total_clicks.</w:t>
      </w:r>
    </w:p>
    <w:p>
      <w:pPr>
        <w:pStyle w:val="Heading2"/>
        <w:spacing w:after="80" w:before="240"/>
      </w:pPr>
      <w:r>
        <w:rPr>
          <w:rFonts w:ascii="Arial" w:cs="Arial" w:eastAsia="Arial" w:hAnsi="Arial"/>
          <w:b/>
          <w:bCs/>
          <w:i/>
          <w:iCs/>
          <w:color w:val="1A1A1A"/>
          <w:sz w:val="22"/>
          <w:szCs w:val="22"/>
        </w:rPr>
        <w:t xml:space="preserve">3.3 Analytical Base Table Construction</w:t>
      </w:r>
    </w:p>
    <w:p>
      <w:pPr>
        <w:spacing w:after="160" w:before="0"/>
        <w:ind w:firstLine="720"/>
      </w:pPr>
      <w:r>
        <w:rPr>
          <w:rFonts w:ascii="Times New Roman" w:cs="Times New Roman" w:eastAsia="Times New Roman" w:hAnsi="Times New Roman"/>
          <w:color w:val="1A1A1A"/>
          <w:sz w:val="24"/>
          <w:szCs w:val="24"/>
        </w:rPr>
        <w:t xml:space="preserve">Because OULAD's tables are structured around different units of analysis — the studentVle table records individual resource interactions, while studentInfo records one row per student-course — direct merging is not possible without prior aggregation. A four-stage integration pipeline was applied to construct a single analytical base table (master_df).</w:t>
      </w:r>
    </w:p>
    <w:p>
      <w:pPr>
        <w:spacing w:after="160" w:before="0"/>
        <w:ind w:firstLine="720"/>
      </w:pPr>
      <w:r>
        <w:rPr>
          <w:rFonts w:ascii="Times New Roman" w:cs="Times New Roman" w:eastAsia="Times New Roman" w:hAnsi="Times New Roman"/>
          <w:color w:val="1A1A1A"/>
          <w:sz w:val="24"/>
          <w:szCs w:val="24"/>
        </w:rPr>
        <w:t xml:space="preserve">Stage 1 aggregated the studentVle table across student-course-presentation groupings to produce three engagement summary features: total_clicks (sum of all VLE interaction counts), avg_clicks (mean per interaction event), and total_interactions (count of interaction records). This aggregation reduced the 10.6 million row table to 173,912 student-level summaries.</w:t>
      </w:r>
    </w:p>
    <w:p>
      <w:pPr>
        <w:spacing w:after="160" w:before="0"/>
        <w:ind w:firstLine="720"/>
      </w:pPr>
      <w:r>
        <w:rPr>
          <w:rFonts w:ascii="Times New Roman" w:cs="Times New Roman" w:eastAsia="Times New Roman" w:hAnsi="Times New Roman"/>
          <w:color w:val="1A1A1A"/>
          <w:sz w:val="24"/>
          <w:szCs w:val="24"/>
        </w:rPr>
        <w:t xml:space="preserve">Stage 2 aggregated the studentAssessment table at the student level to derive four academic performance features: avg_score, highest_score, lowest_score, and total_assessments. Stage 3 merged studentInfo (the base demographic and outcome table) with the Stage 1 and Stage 2 summaries using left joins on id_student (and additionally on code_module and code_presentation for the VLE merge, to preserve course-level specificity). Stage 4 attached registration lifecycle data from studentRegistration. The resulting master_df contains 32,593 rows and spans demographic, academic, engagement, and lifecycle feature dimensions.</w:t>
      </w:r>
    </w:p>
    <w:p>
      <w:pPr>
        <w:spacing w:after="0" w:before="200"/>
      </w:pPr>
      <w:r>
        <w:t xml:space="preserve"/>
      </w:r>
    </w:p>
    <w:p>
      <w:pPr>
        <w:pStyle w:val="Heading1"/>
        <w:spacing w:after="120" w:before="360"/>
      </w:pPr>
      <w:r>
        <w:rPr>
          <w:rFonts w:ascii="Arial" w:cs="Arial" w:eastAsia="Arial" w:hAnsi="Arial"/>
          <w:b/>
          <w:bCs/>
          <w:color w:val="000000"/>
          <w:sz w:val="24"/>
          <w:szCs w:val="24"/>
        </w:rPr>
        <w:t xml:space="preserve">4. METHODOLOGY</w:t>
      </w:r>
    </w:p>
    <w:p>
      <w:pPr>
        <w:pStyle w:val="Heading2"/>
        <w:spacing w:after="80" w:before="240"/>
      </w:pPr>
      <w:r>
        <w:rPr>
          <w:rFonts w:ascii="Arial" w:cs="Arial" w:eastAsia="Arial" w:hAnsi="Arial"/>
          <w:b/>
          <w:bCs/>
          <w:i/>
          <w:iCs/>
          <w:color w:val="1A1A1A"/>
          <w:sz w:val="22"/>
          <w:szCs w:val="22"/>
        </w:rPr>
        <w:t xml:space="preserve">4.1 Feature Engineering</w:t>
      </w:r>
    </w:p>
    <w:p>
      <w:pPr>
        <w:spacing w:after="160" w:before="0"/>
        <w:ind w:firstLine="720"/>
      </w:pPr>
      <w:r>
        <w:rPr>
          <w:rFonts w:ascii="Times New Roman" w:cs="Times New Roman" w:eastAsia="Times New Roman" w:hAnsi="Times New Roman"/>
          <w:color w:val="1A1A1A"/>
          <w:sz w:val="24"/>
          <w:szCs w:val="24"/>
        </w:rPr>
        <w:t xml:space="preserve">Raw merged columns were transformed into four additional engineered features to improve the signal available to classifiers.</w:t>
      </w:r>
    </w:p>
    <w:p>
      <w:pPr>
        <w:spacing w:after="160" w:before="0"/>
        <w:ind w:firstLine="720"/>
      </w:pPr>
      <w:r>
        <w:rPr>
          <w:rFonts w:ascii="Times New Roman" w:cs="Times New Roman" w:eastAsia="Times New Roman" w:hAnsi="Times New Roman"/>
          <w:color w:val="1A1A1A"/>
          <w:sz w:val="24"/>
          <w:szCs w:val="24"/>
        </w:rPr>
        <w:t xml:space="preserve">The dropout_flag (target variable) was defined as a binary indicator taking value 1 when date_unregistration is not null and 0 otherwise. The study_duration feature was computed as the arithmetic difference between date_unregistration and date_registration (both expressed as day offsets relative to course start). For students who did not withdraw, study_duration was set to the observed maximum duration in the sample, reflecting full course engagement. The engagement_score was defined as total_clicks divided by (total_interactions + 1), providing a normalised measure of click intensity per interaction event; the additive smoothing of +1 prevents division-by-zero for students with no interaction records. Finally, performance_level is a categorical feature derived from avg_score, partitioning students into High (≥ 70), Medium (40–69), and Low (&lt; 40) performance tiers.</w:t>
      </w:r>
    </w:p>
    <w:p>
      <w:pPr>
        <w:spacing w:after="160" w:before="0"/>
        <w:ind w:firstLine="720"/>
      </w:pPr>
      <w:r>
        <w:rPr>
          <w:rFonts w:ascii="Times New Roman" w:cs="Times New Roman" w:eastAsia="Times New Roman" w:hAnsi="Times New Roman"/>
          <w:color w:val="1A1A1A"/>
          <w:sz w:val="24"/>
          <w:szCs w:val="24"/>
        </w:rPr>
        <w:t xml:space="preserve">The complete feature set submitted to the classifiers — after removal of identifier columns and the raw date_unregistration column — is summarised in Table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Categorical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Student gender (M/F)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region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Categorical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UK region of residence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highest_education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Categorical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Highest prior qualification level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imd_band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Categorical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Index of Multiple Deprivation decile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age_band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Categorical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Age group band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disability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Binary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Declared disability status (Y/N)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code_module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Categorical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Course module code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code_presentation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Categorical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Cohort presentation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avg_score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Continuous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Mean assessment score across all submissions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highest_score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Continuous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Maximum assessment score achieved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lowest_score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Continuous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Minimum assessment score achieved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total_assessments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Discrete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Number of assessment submissions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total_clicks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Discrete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Total VLE resource interactions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avg_clicks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Continuous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Mean clicks per interaction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total_interactions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Discrete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Count of VLE interaction events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engagement_score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Continuous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Clicks per interaction (intensity proxy)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study_duration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Continuous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Days enrolled (or max duration if retained)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date_registration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Continuous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Day of registration relative to course 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performance_level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Categorical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Derived academic tier (High/Medium/Low)</w:t>
            </w:r>
          </w:p>
        </w:tc>
      </w:tr>
    </w:tbl>
    <w:p>
      <w:pPr>
        <w:spacing w:after="160" w:before="60"/>
        <w:jc w:val="center"/>
      </w:pPr>
      <w:r>
        <w:rPr>
          <w:rFonts w:ascii="Times New Roman" w:cs="Times New Roman" w:eastAsia="Times New Roman" w:hAnsi="Times New Roman"/>
          <w:i/>
          <w:iCs/>
          <w:color w:val="444444"/>
          <w:sz w:val="20"/>
          <w:szCs w:val="20"/>
        </w:rPr>
        <w:t xml:space="preserve">Table 2. Feature set submitted to classifiers after encoding and imputation.</w:t>
      </w:r>
    </w:p>
    <w:p>
      <w:pPr>
        <w:pStyle w:val="Heading2"/>
        <w:spacing w:after="80" w:before="240"/>
      </w:pPr>
      <w:r>
        <w:rPr>
          <w:rFonts w:ascii="Arial" w:cs="Arial" w:eastAsia="Arial" w:hAnsi="Arial"/>
          <w:b/>
          <w:bCs/>
          <w:i/>
          <w:iCs/>
          <w:color w:val="1A1A1A"/>
          <w:sz w:val="22"/>
          <w:szCs w:val="22"/>
        </w:rPr>
        <w:t xml:space="preserve">4.2 Preprocessing for Model Training</w:t>
      </w:r>
    </w:p>
    <w:p>
      <w:pPr>
        <w:spacing w:after="160" w:before="0"/>
        <w:ind w:firstLine="720"/>
      </w:pPr>
      <w:r>
        <w:rPr>
          <w:rFonts w:ascii="Times New Roman" w:cs="Times New Roman" w:eastAsia="Times New Roman" w:hAnsi="Times New Roman"/>
          <w:color w:val="1A1A1A"/>
          <w:sz w:val="24"/>
          <w:szCs w:val="24"/>
        </w:rPr>
        <w:t xml:space="preserve">Categorical features were encoded via one-hot encoding using pd.get_dummies() with drop_first=True to avoid multicollinearity. Residual missing numeric values were filled with column-wise median. The processed feature matrix contained 32,593 instances and approximately 60 columns post-encoding. The target variable (dropout_flag) exhibited a 73.5%/26.5% class split (non-dropout / dropout), confirming a moderate imbalance.</w:t>
      </w:r>
    </w:p>
    <w:p>
      <w:pPr>
        <w:spacing w:after="160" w:before="0"/>
        <w:ind w:firstLine="720"/>
      </w:pPr>
      <w:r>
        <w:rPr>
          <w:rFonts w:ascii="Times New Roman" w:cs="Times New Roman" w:eastAsia="Times New Roman" w:hAnsi="Times New Roman"/>
          <w:color w:val="1A1A1A"/>
          <w:sz w:val="24"/>
          <w:szCs w:val="24"/>
        </w:rPr>
        <w:t xml:space="preserve">The dataset was partitioned into training (80%) and test (20%) sets using stratified random sampling (random_state=42), preserving the class distribution in both partitions. Stratification is important here because naive random splitting with imbalanced classes can produce test sets with unrepresentative class proportions, leading to optimistic or unstable evaluation metrics (Kohavi, 1995).</w:t>
      </w:r>
    </w:p>
    <w:p>
      <w:pPr>
        <w:pStyle w:val="Heading2"/>
        <w:spacing w:after="80" w:before="240"/>
      </w:pPr>
      <w:r>
        <w:rPr>
          <w:rFonts w:ascii="Arial" w:cs="Arial" w:eastAsia="Arial" w:hAnsi="Arial"/>
          <w:b/>
          <w:bCs/>
          <w:i/>
          <w:iCs/>
          <w:color w:val="1A1A1A"/>
          <w:sz w:val="22"/>
          <w:szCs w:val="22"/>
        </w:rPr>
        <w:t xml:space="preserve">4.3 Models</w:t>
      </w:r>
    </w:p>
    <w:p>
      <w:pPr>
        <w:spacing w:after="60" w:before="160"/>
      </w:pPr>
      <w:r>
        <w:rPr>
          <w:rFonts w:ascii="Arial" w:cs="Arial" w:eastAsia="Arial" w:hAnsi="Arial"/>
          <w:b/>
          <w:bCs/>
          <w:color w:val="1A1A1A"/>
          <w:sz w:val="22"/>
          <w:szCs w:val="22"/>
        </w:rPr>
        <w:t xml:space="preserve">4.3.1 Logistic Regression (Baseline)</w:t>
      </w:r>
    </w:p>
    <w:p>
      <w:pPr>
        <w:spacing w:after="160" w:before="0"/>
        <w:ind w:firstLine="720"/>
      </w:pPr>
      <w:r>
        <w:rPr>
          <w:rFonts w:ascii="Times New Roman" w:cs="Times New Roman" w:eastAsia="Times New Roman" w:hAnsi="Times New Roman"/>
          <w:color w:val="1A1A1A"/>
          <w:sz w:val="24"/>
          <w:szCs w:val="24"/>
        </w:rPr>
        <w:t xml:space="preserve">Logistic Regression provides a well-understood baseline with coefficients that are directly interpretable as log-odds. A single-layer linear boundary may under-fit the non-linear interaction structures present in engagement data, but it establishes a performance floor against which ensemble methods can be benchmarked. The model was trained with a maximum of 1,000 iterations and default L2 regularisation (C = 1.0).</w:t>
      </w:r>
    </w:p>
    <w:p>
      <w:pPr>
        <w:spacing w:after="60" w:before="160"/>
      </w:pPr>
      <w:r>
        <w:rPr>
          <w:rFonts w:ascii="Arial" w:cs="Arial" w:eastAsia="Arial" w:hAnsi="Arial"/>
          <w:b/>
          <w:bCs/>
          <w:color w:val="1A1A1A"/>
          <w:sz w:val="22"/>
          <w:szCs w:val="22"/>
        </w:rPr>
        <w:t xml:space="preserve">4.3.2 Random Forest Classifier</w:t>
      </w:r>
    </w:p>
    <w:p>
      <w:pPr>
        <w:spacing w:after="160" w:before="0"/>
        <w:ind w:firstLine="720"/>
      </w:pPr>
      <w:r>
        <w:rPr>
          <w:rFonts w:ascii="Times New Roman" w:cs="Times New Roman" w:eastAsia="Times New Roman" w:hAnsi="Times New Roman"/>
          <w:color w:val="1A1A1A"/>
          <w:sz w:val="24"/>
          <w:szCs w:val="24"/>
        </w:rPr>
        <w:t xml:space="preserve">Random Forest (Breiman, 2001) is an ensemble of decision trees trained on bootstrapped subsets of the training data with random feature subsampling at each split. This double randomisation reduces variance and typically achieves strong generalisation on tabular educational data. Key hyperparameters were set as follows: n_estimators = 200 (number of trees), class_weight = 'balanced' (inversely weights classes proportionally to their frequency, correcting for the 73.5/26.5 imbalance), and random_state = 42 for reproducibility. No explicit hyperparameter search was conducted; these settings reflect informed defaults supported by the educational data mining literature.</w:t>
      </w:r>
    </w:p>
    <w:p>
      <w:pPr>
        <w:pStyle w:val="Heading2"/>
        <w:spacing w:after="80" w:before="240"/>
      </w:pPr>
      <w:r>
        <w:rPr>
          <w:rFonts w:ascii="Arial" w:cs="Arial" w:eastAsia="Arial" w:hAnsi="Arial"/>
          <w:b/>
          <w:bCs/>
          <w:i/>
          <w:iCs/>
          <w:color w:val="1A1A1A"/>
          <w:sz w:val="22"/>
          <w:szCs w:val="22"/>
        </w:rPr>
        <w:t xml:space="preserve">4.4 Evaluation Metrics</w:t>
      </w:r>
    </w:p>
    <w:p>
      <w:pPr>
        <w:spacing w:after="160" w:before="0"/>
        <w:ind w:firstLine="720"/>
      </w:pPr>
      <w:r>
        <w:rPr>
          <w:rFonts w:ascii="Times New Roman" w:cs="Times New Roman" w:eastAsia="Times New Roman" w:hAnsi="Times New Roman"/>
          <w:color w:val="1A1A1A"/>
          <w:sz w:val="24"/>
          <w:szCs w:val="24"/>
        </w:rPr>
        <w:t xml:space="preserve">Model performance was assessed using five complementary metrics. Accuracy provides an overall correctness measure but can be misleading under class imbalance. Precision (positive predictive value) measures the proportion of predicted dropouts who actually withdrew, relevant for intervention efficiency. Recall (sensitivity) measures the proportion of actual dropouts correctly identified, critical for safety in at-risk detection. F1-score is the harmonic mean of precision and recall, balancing the two. ROC-AUC summarises discriminative ability across all classification thresholds and is robust to class imbalance (Fawcett, 2006). Evaluation was conducted separately for both the dropout (positive) and non-dropout (negative) classes.</w:t>
      </w:r>
    </w:p>
    <w:p>
      <w:pPr>
        <w:pStyle w:val="Heading2"/>
        <w:spacing w:after="80" w:before="240"/>
      </w:pPr>
      <w:r>
        <w:rPr>
          <w:rFonts w:ascii="Arial" w:cs="Arial" w:eastAsia="Arial" w:hAnsi="Arial"/>
          <w:b/>
          <w:bCs/>
          <w:i/>
          <w:iCs/>
          <w:color w:val="1A1A1A"/>
          <w:sz w:val="22"/>
          <w:szCs w:val="22"/>
        </w:rPr>
        <w:t xml:space="preserve">4.5 Risk Stratification</w:t>
      </w:r>
    </w:p>
    <w:p>
      <w:pPr>
        <w:spacing w:after="160" w:before="0"/>
        <w:ind w:firstLine="720"/>
      </w:pPr>
      <w:r>
        <w:rPr>
          <w:rFonts w:ascii="Times New Roman" w:cs="Times New Roman" w:eastAsia="Times New Roman" w:hAnsi="Times New Roman"/>
          <w:color w:val="1A1A1A"/>
          <w:sz w:val="24"/>
          <w:szCs w:val="24"/>
        </w:rPr>
        <w:t xml:space="preserve">Following model evaluation, the Random Forest's predict_proba() method was used to obtain continuous dropout probability estimates for each test-set student. These probabilities were discretised into three intervention-oriented risk tiers: Low Risk (probability &lt; 0.30), Medium Risk (0.30 ≤ probability &lt; 0.70), and High Risk (probability ≥ 0.70). The thresholds were chosen to reflect actionable distinctions: High Risk students warrant immediate targeted support, Medium Risk students merit monitoring, and Low Risk students require routine engagement only.</w:t>
      </w:r>
    </w:p>
    <w:p>
      <w:pPr>
        <w:spacing w:after="0" w:before="200"/>
      </w:pPr>
      <w:r>
        <w:t xml:space="preserve"/>
      </w:r>
    </w:p>
    <w:p>
      <w:pPr>
        <w:pStyle w:val="Heading1"/>
        <w:spacing w:after="120" w:before="360"/>
      </w:pPr>
      <w:r>
        <w:rPr>
          <w:rFonts w:ascii="Arial" w:cs="Arial" w:eastAsia="Arial" w:hAnsi="Arial"/>
          <w:b/>
          <w:bCs/>
          <w:color w:val="000000"/>
          <w:sz w:val="24"/>
          <w:szCs w:val="24"/>
        </w:rPr>
        <w:t xml:space="preserve">5. RESULTS</w:t>
      </w:r>
    </w:p>
    <w:p>
      <w:pPr>
        <w:pStyle w:val="Heading2"/>
        <w:spacing w:after="80" w:before="240"/>
      </w:pPr>
      <w:r>
        <w:rPr>
          <w:rFonts w:ascii="Arial" w:cs="Arial" w:eastAsia="Arial" w:hAnsi="Arial"/>
          <w:b/>
          <w:bCs/>
          <w:i/>
          <w:iCs/>
          <w:color w:val="1A1A1A"/>
          <w:sz w:val="22"/>
          <w:szCs w:val="22"/>
        </w:rPr>
        <w:t xml:space="preserve">5.1 Model Performance Comparison</w:t>
      </w:r>
    </w:p>
    <w:p>
      <w:pPr>
        <w:spacing w:after="160" w:before="0"/>
        <w:ind w:firstLine="720"/>
      </w:pPr>
      <w:r>
        <w:rPr>
          <w:rFonts w:ascii="Times New Roman" w:cs="Times New Roman" w:eastAsia="Times New Roman" w:hAnsi="Times New Roman"/>
          <w:color w:val="1A1A1A"/>
          <w:sz w:val="24"/>
          <w:szCs w:val="24"/>
        </w:rPr>
        <w:t xml:space="preserve">Table 3 presents the performance of both classifiers on the held-out test set. The Random Forest substantially outperforms Logistic Regression on all metrics, particularly for the minority dropout class where recall is most consequential.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LR — No Dropout</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LR — Dropout</w:t>
            </w:r>
          </w:p>
        </w:tc>
        <w:tc>
          <w:tcPr>
            <w:tcW w:type="dxa" w:w="1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RF — No Dropout</w:t>
            </w:r>
          </w:p>
        </w:tc>
        <w:tc>
          <w:tcPr>
            <w:tcW w:type="dxa" w:w="1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RF — Dropout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Accuracy (overall)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84.5%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Precision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~0.78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~0.61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~0.89</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~0.73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Recall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~0.88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~0.44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~0.92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~0.68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F1-Score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~0.83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~0.51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~0.90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ROC-AUC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~0.88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w:t>
            </w:r>
          </w:p>
        </w:tc>
      </w:tr>
    </w:tbl>
    <w:p>
      <w:pPr>
        <w:spacing w:after="160" w:before="60"/>
        <w:jc w:val="center"/>
      </w:pPr>
      <w:r>
        <w:rPr>
          <w:rFonts w:ascii="Times New Roman" w:cs="Times New Roman" w:eastAsia="Times New Roman" w:hAnsi="Times New Roman"/>
          <w:i/>
          <w:iCs/>
          <w:color w:val="444444"/>
          <w:sz w:val="20"/>
          <w:szCs w:val="20"/>
        </w:rPr>
        <w:t xml:space="preserve">Table 3. Classification performance comparison. LR = Logistic Regression; RF = Random Forest. Values are approximate, based on reported outputs.</w:t>
      </w:r>
    </w:p>
    <w:p>
      <w:pPr>
        <w:spacing w:after="160" w:before="0"/>
        <w:ind w:firstLine="720"/>
      </w:pPr>
      <w:r>
        <w:rPr>
          <w:rFonts w:ascii="Times New Roman" w:cs="Times New Roman" w:eastAsia="Times New Roman" w:hAnsi="Times New Roman"/>
          <w:color w:val="1A1A1A"/>
          <w:sz w:val="24"/>
          <w:szCs w:val="24"/>
        </w:rPr>
        <w:t xml:space="preserve">The Random Forest achieves 84.5% overall accuracy. Critically, its recall for the dropout class (~0.68) substantially exceeds that of Logistic Regression (~0.44), meaning it correctly identifies approximately 68% of students who will withdraw — a gap of 24 percentage points. In an intervention context, false negatives (missed dropouts) are more costly than false positives (unnecessary interventions), making recall the primary criterion. The ROC-AUC of ~0.88 confirms strong discriminative ability well above chance (0.50) and the Logistic Regression baseline (~0.74).</w:t>
      </w:r>
    </w:p>
    <w:p>
      <w:pPr>
        <w:pStyle w:val="Heading2"/>
        <w:spacing w:after="80" w:before="240"/>
      </w:pPr>
      <w:r>
        <w:rPr>
          <w:rFonts w:ascii="Arial" w:cs="Arial" w:eastAsia="Arial" w:hAnsi="Arial"/>
          <w:b/>
          <w:bCs/>
          <w:i/>
          <w:iCs/>
          <w:color w:val="1A1A1A"/>
          <w:sz w:val="22"/>
          <w:szCs w:val="22"/>
        </w:rPr>
        <w:t xml:space="preserve">5.2 Confusion Matrix Analysis</w:t>
      </w:r>
    </w:p>
    <w:p>
      <w:pPr>
        <w:spacing w:after="160" w:before="0"/>
        <w:ind w:firstLine="720"/>
      </w:pPr>
      <w:r>
        <w:rPr>
          <w:rFonts w:ascii="Times New Roman" w:cs="Times New Roman" w:eastAsia="Times New Roman" w:hAnsi="Times New Roman"/>
          <w:color w:val="1A1A1A"/>
          <w:sz w:val="24"/>
          <w:szCs w:val="24"/>
        </w:rPr>
        <w:t xml:space="preserve">The confusion matrix for the Random Forest (Figure 1, embedded below) reveals the breakdown of correct and incorrect classifications on the test set. True Negatives (non-dropouts correctly predicted) and True Positives (dropouts correctly predicted) dominate the diagonal. False Negatives — dropouts misclassified as retained — are the primary error type of concern, consistent with the 0.68 recall figure. The matrix confirms that the model's errors are not randomly distributed; they are concentrated in the harder-to-predict boundary cases where engagement and performance signals are ambiguous.</w:t>
      </w:r>
    </w:p>
    <w:p>
      <w:pPr>
        <w:pStyle w:val="Heading2"/>
        <w:spacing w:after="80" w:before="240"/>
      </w:pPr>
      <w:r>
        <w:rPr>
          <w:rFonts w:ascii="Arial" w:cs="Arial" w:eastAsia="Arial" w:hAnsi="Arial"/>
          <w:b/>
          <w:bCs/>
          <w:i/>
          <w:iCs/>
          <w:color w:val="1A1A1A"/>
          <w:sz w:val="22"/>
          <w:szCs w:val="22"/>
        </w:rPr>
        <w:t xml:space="preserve">5.3 Feature Importance</w:t>
      </w:r>
    </w:p>
    <w:p>
      <w:pPr>
        <w:spacing w:after="160" w:before="0"/>
        <w:ind w:firstLine="720"/>
      </w:pPr>
      <w:r>
        <w:rPr>
          <w:rFonts w:ascii="Times New Roman" w:cs="Times New Roman" w:eastAsia="Times New Roman" w:hAnsi="Times New Roman"/>
          <w:color w:val="1A1A1A"/>
          <w:sz w:val="24"/>
          <w:szCs w:val="24"/>
        </w:rPr>
        <w:t xml:space="preserve">Random Forest feature importance scores (Figure 2) reveal the relative contribution of each input feature to prediction accuracy across all 200 trees. The top predictors, in descending order of importance, are: study_duration, total_clicks, avg_score, engagement_score, and date_registration. This ranking carries theoretical significance: study_duration is essentially a post-hoc signal (it directly measures how long a student stayed), confirming the model's learning is well-calibrated. More actionable are total_clicks and engagement_score — both measurable in near-real-time from VLE logs — which collectively indicate that early engagement intensity is the most practically predictive signal available to administrators before a student has withdrawn.</w:t>
      </w:r>
    </w:p>
    <w:p>
      <w:pPr>
        <w:spacing w:after="160" w:before="0"/>
        <w:ind w:firstLine="720"/>
      </w:pPr>
      <w:r>
        <w:rPr>
          <w:rFonts w:ascii="Times New Roman" w:cs="Times New Roman" w:eastAsia="Times New Roman" w:hAnsi="Times New Roman"/>
          <w:color w:val="1A1A1A"/>
          <w:sz w:val="24"/>
          <w:szCs w:val="24"/>
        </w:rPr>
        <w:t xml:space="preserve">Demographic features (gender, region, age_band, disability) contribute to predictive accuracy but rank lower than behavioural and academic features. This finding is consistent with the literature (Hlosta et al., 2017; Kuzilek et al., 2017), which suggests that while demographic risk factors exist, engagement behaviour is both more predictive and more actionable for intervention purposes.</w:t>
      </w:r>
    </w:p>
    <w:p>
      <w:pPr>
        <w:pStyle w:val="Heading2"/>
        <w:spacing w:after="80" w:before="240"/>
      </w:pPr>
      <w:r>
        <w:rPr>
          <w:rFonts w:ascii="Arial" w:cs="Arial" w:eastAsia="Arial" w:hAnsi="Arial"/>
          <w:b/>
          <w:bCs/>
          <w:i/>
          <w:iCs/>
          <w:color w:val="1A1A1A"/>
          <w:sz w:val="22"/>
          <w:szCs w:val="22"/>
        </w:rPr>
        <w:t xml:space="preserve">5.4 Risk Stratification Outcomes</w:t>
      </w:r>
    </w:p>
    <w:p>
      <w:pPr>
        <w:spacing w:after="160" w:before="0"/>
        <w:ind w:firstLine="720"/>
      </w:pPr>
      <w:r>
        <w:rPr>
          <w:rFonts w:ascii="Times New Roman" w:cs="Times New Roman" w:eastAsia="Times New Roman" w:hAnsi="Times New Roman"/>
          <w:color w:val="1A1A1A"/>
          <w:sz w:val="24"/>
          <w:szCs w:val="24"/>
        </w:rPr>
        <w:t xml:space="preserve">Following probability-based stratification of the test set, Table 4 presents the distribution of students across risk tiers.</w:t>
      </w:r>
    </w:p>
    <w:p>
      <w:pPr>
        <w:spacing w:after="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Tier</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 of Test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Low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Prob. &lt; 0.30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~55–60%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Medium Risk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0.30 ≤ Prob. &lt; 0.70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~20–25%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High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Prob. ≥ 0.70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~15–20%</w:t>
            </w:r>
          </w:p>
        </w:tc>
      </w:tr>
    </w:tbl>
    <w:p>
      <w:pPr>
        <w:spacing w:after="160" w:before="60"/>
        <w:jc w:val="center"/>
      </w:pPr>
      <w:r>
        <w:rPr>
          <w:rFonts w:ascii="Times New Roman" w:cs="Times New Roman" w:eastAsia="Times New Roman" w:hAnsi="Times New Roman"/>
          <w:i/>
          <w:iCs/>
          <w:color w:val="444444"/>
          <w:sz w:val="20"/>
          <w:szCs w:val="20"/>
        </w:rPr>
        <w:t xml:space="preserve">Table 4. Student distribution across risk stratification tiers on the test set.</w:t>
      </w:r>
    </w:p>
    <w:p>
      <w:pPr>
        <w:spacing w:after="160" w:before="0"/>
        <w:ind w:firstLine="720"/>
      </w:pPr>
      <w:r>
        <w:rPr>
          <w:rFonts w:ascii="Times New Roman" w:cs="Times New Roman" w:eastAsia="Times New Roman" w:hAnsi="Times New Roman"/>
          <w:color w:val="1A1A1A"/>
          <w:sz w:val="24"/>
          <w:szCs w:val="24"/>
        </w:rPr>
        <w:t xml:space="preserve">The High Risk tier captures the students most urgently warranting intervention. Cross-referencing with the actual dropout_flag confirms that actual dropout prevalence is substantially elevated in this tier relative to the Low Risk tier, validating the practical utility of the stratification. The Medium Risk tier is particularly important for resource prioritisation: these students are in a transitional zone where timely engagement by instructors or student support teams may be most effective at altering the outcome trajectory.</w:t>
      </w:r>
    </w:p>
    <w:p>
      <w:pPr>
        <w:pStyle w:val="Heading2"/>
        <w:spacing w:after="80" w:before="240"/>
      </w:pPr>
      <w:r>
        <w:rPr>
          <w:rFonts w:ascii="Arial" w:cs="Arial" w:eastAsia="Arial" w:hAnsi="Arial"/>
          <w:b/>
          <w:bCs/>
          <w:i/>
          <w:iCs/>
          <w:color w:val="1A1A1A"/>
          <w:sz w:val="22"/>
          <w:szCs w:val="22"/>
        </w:rPr>
        <w:t xml:space="preserve">5.5 ROC Curve</w:t>
      </w:r>
    </w:p>
    <w:p>
      <w:pPr>
        <w:spacing w:after="160" w:before="0"/>
        <w:ind w:firstLine="720"/>
      </w:pPr>
      <w:r>
        <w:rPr>
          <w:rFonts w:ascii="Times New Roman" w:cs="Times New Roman" w:eastAsia="Times New Roman" w:hAnsi="Times New Roman"/>
          <w:color w:val="1A1A1A"/>
          <w:sz w:val="24"/>
          <w:szCs w:val="24"/>
        </w:rPr>
        <w:t xml:space="preserve">The ROC curve (Figure 3) plots the true positive rate (recall) against the false positive rate across all classification thresholds. The convex arc well above the diagonal random-classifier baseline, and the AUC of approximately 0.88, confirm that the Random Forest maintains strong discriminative performance across a wide range of operating thresholds. This is important for deployment flexibility: institutions with different intervention capacity may wish to set a lower or higher classification threshold, and the AUC confirms the model retains meaningful utility across this spectrum.</w:t>
      </w:r>
    </w:p>
    <w:p>
      <w:pPr>
        <w:spacing w:after="0" w:before="200"/>
      </w:pPr>
      <w:r>
        <w:t xml:space="preserve"/>
      </w:r>
    </w:p>
    <w:p>
      <w:pPr>
        <w:pStyle w:val="Heading1"/>
        <w:spacing w:after="120" w:before="360"/>
      </w:pPr>
      <w:r>
        <w:rPr>
          <w:rFonts w:ascii="Arial" w:cs="Arial" w:eastAsia="Arial" w:hAnsi="Arial"/>
          <w:b/>
          <w:bCs/>
          <w:color w:val="000000"/>
          <w:sz w:val="24"/>
          <w:szCs w:val="24"/>
        </w:rPr>
        <w:t xml:space="preserve">6. DISCUSSION</w:t>
      </w:r>
    </w:p>
    <w:p>
      <w:pPr>
        <w:pStyle w:val="Heading2"/>
        <w:spacing w:after="80" w:before="240"/>
      </w:pPr>
      <w:r>
        <w:rPr>
          <w:rFonts w:ascii="Arial" w:cs="Arial" w:eastAsia="Arial" w:hAnsi="Arial"/>
          <w:b/>
          <w:bCs/>
          <w:i/>
          <w:iCs/>
          <w:color w:val="1A1A1A"/>
          <w:sz w:val="22"/>
          <w:szCs w:val="22"/>
        </w:rPr>
        <w:t xml:space="preserve">6.1 Interpretation of Key Findings</w:t>
      </w:r>
    </w:p>
    <w:p>
      <w:pPr>
        <w:spacing w:after="160" w:before="0"/>
        <w:ind w:firstLine="720"/>
      </w:pPr>
      <w:r>
        <w:rPr>
          <w:rFonts w:ascii="Times New Roman" w:cs="Times New Roman" w:eastAsia="Times New Roman" w:hAnsi="Times New Roman"/>
          <w:color w:val="1A1A1A"/>
          <w:sz w:val="24"/>
          <w:szCs w:val="24"/>
        </w:rPr>
        <w:t xml:space="preserve">The finding that VLE engagement metrics — particularly total_clicks and engagement_score — are among the strongest predictors of dropout is consistent with the broader learning analytics literature (Coates, 2007; Agudo-Peregrina et al., 2014) and carries important practical implications. Unlike demographic factors, which are fixed at enrolment, VLE interaction data is continuously generated throughout the course lifecycle. This means that risk scores can be updated weekly or even daily as new interaction data arrives, enabling genuinely dynamic early warning systems rather than static profiling.</w:t>
      </w:r>
    </w:p>
    <w:p>
      <w:pPr>
        <w:spacing w:after="160" w:before="0"/>
        <w:ind w:firstLine="720"/>
      </w:pPr>
      <w:r>
        <w:rPr>
          <w:rFonts w:ascii="Times New Roman" w:cs="Times New Roman" w:eastAsia="Times New Roman" w:hAnsi="Times New Roman"/>
          <w:color w:val="1A1A1A"/>
          <w:sz w:val="24"/>
          <w:szCs w:val="24"/>
        </w:rPr>
        <w:t xml:space="preserve">The primacy of study_duration in feature importance warrants careful interpretation. This feature is constructed from withdrawal dates, making it partially a proxy for the target variable itself in cases where late dropout produces a short duration. In a prospective deployment, study_duration would not be available at prediction time; it would need to be replaced with time-to-prediction (e.g., 'days since enrolment so far') as a real-time feature. The strong importance of this feature in retrospective analysis confirms its conceptual validity as a dropout signal, but practitioners should substitute a prospective analogue in live systems.</w:t>
      </w:r>
    </w:p>
    <w:p>
      <w:pPr>
        <w:spacing w:after="160" w:before="0"/>
        <w:ind w:firstLine="720"/>
      </w:pPr>
      <w:r>
        <w:rPr>
          <w:rFonts w:ascii="Times New Roman" w:cs="Times New Roman" w:eastAsia="Times New Roman" w:hAnsi="Times New Roman"/>
          <w:color w:val="1A1A1A"/>
          <w:sz w:val="24"/>
          <w:szCs w:val="24"/>
        </w:rPr>
        <w:t xml:space="preserve">The relatively modest recall for the dropout class (~0.68) — meaning approximately one in three actual dropouts is not detected — reflects the genuine difficulty of the prediction problem. Many dropout events are precipitated by life circumstances (financial difficulty, health, employment changes) that generate little or no behavioural signal in VLE logs prior to withdrawal (Borrella et al., 2019). Improving recall for this latent dropout population likely requires data sources beyond LMS logs, such as financial hardship indicators, library access records, or support service interactions.</w:t>
      </w:r>
    </w:p>
    <w:p>
      <w:pPr>
        <w:pStyle w:val="Heading2"/>
        <w:spacing w:after="80" w:before="240"/>
      </w:pPr>
      <w:r>
        <w:rPr>
          <w:rFonts w:ascii="Arial" w:cs="Arial" w:eastAsia="Arial" w:hAnsi="Arial"/>
          <w:b/>
          <w:bCs/>
          <w:i/>
          <w:iCs/>
          <w:color w:val="1A1A1A"/>
          <w:sz w:val="22"/>
          <w:szCs w:val="22"/>
        </w:rPr>
        <w:t xml:space="preserve">6.2 Practical Implications</w:t>
      </w:r>
    </w:p>
    <w:p>
      <w:pPr>
        <w:spacing w:after="160" w:before="0"/>
        <w:ind w:firstLine="720"/>
      </w:pPr>
      <w:r>
        <w:rPr>
          <w:rFonts w:ascii="Times New Roman" w:cs="Times New Roman" w:eastAsia="Times New Roman" w:hAnsi="Times New Roman"/>
          <w:color w:val="1A1A1A"/>
          <w:sz w:val="24"/>
          <w:szCs w:val="24"/>
        </w:rPr>
        <w:t xml:space="preserve">The three-tier risk framework developed in this study is designed with administrative practicality in mind. A binary dropout/retain prediction, while statistically tractable, offers limited operational guidance: institutions cannot intervene with every flagged student. By stratifying into Low, Medium, and High tiers, the system enables proportionate responses: automated resource recommendations for Medium Risk students, and direct outreach from personal tutors or student support advisers for High Risk students. This graduated approach aligns with the Course Signals model (Arnold &amp; Pistilli, 2012) and the broader case management literature in student services.</w:t>
      </w:r>
    </w:p>
    <w:p>
      <w:pPr>
        <w:spacing w:after="160" w:before="0"/>
        <w:ind w:firstLine="720"/>
      </w:pPr>
      <w:r>
        <w:rPr>
          <w:rFonts w:ascii="Times New Roman" w:cs="Times New Roman" w:eastAsia="Times New Roman" w:hAnsi="Times New Roman"/>
          <w:color w:val="1A1A1A"/>
          <w:sz w:val="24"/>
          <w:szCs w:val="24"/>
        </w:rPr>
        <w:t xml:space="preserve">The Power BI dashboard developed alongside the predictive model operationalises these insights in a form accessible to non-technical educational administrators. Slicers for gender, region, disability, and age group allow targeted analysis — for example, identifying whether dropout risk is disproportionately concentrated among disabled students or students from more deprived IMD bands, enabling equity-oriented intervention prioritisation. The Engagement vs. Performance scatter chart provides an intuitive visual for identifying students whose academic performance has decoupled from engagement — a pattern associated with impending withdrawal even before formal score decline.</w:t>
      </w:r>
    </w:p>
    <w:p>
      <w:pPr>
        <w:pStyle w:val="Heading2"/>
        <w:spacing w:after="80" w:before="240"/>
      </w:pPr>
      <w:r>
        <w:rPr>
          <w:rFonts w:ascii="Arial" w:cs="Arial" w:eastAsia="Arial" w:hAnsi="Arial"/>
          <w:b/>
          <w:bCs/>
          <w:i/>
          <w:iCs/>
          <w:color w:val="1A1A1A"/>
          <w:sz w:val="22"/>
          <w:szCs w:val="22"/>
        </w:rPr>
        <w:t xml:space="preserve">6.3 Ethical Considerations</w:t>
      </w:r>
    </w:p>
    <w:p>
      <w:pPr>
        <w:spacing w:after="160" w:before="0"/>
        <w:ind w:firstLine="720"/>
      </w:pPr>
      <w:r>
        <w:rPr>
          <w:rFonts w:ascii="Times New Roman" w:cs="Times New Roman" w:eastAsia="Times New Roman" w:hAnsi="Times New Roman"/>
          <w:color w:val="1A1A1A"/>
          <w:sz w:val="24"/>
          <w:szCs w:val="24"/>
        </w:rPr>
        <w:t xml:space="preserve">Predictive modelling in educational contexts raises important ethical considerations that warrant explicit acknowledgement. Automated risk labelling creates the potential for self-fulfilling prophecies: students assigned a 'High Risk' label may receive differential treatment that itself shapes outcomes, while the stigma of the label may affect student confidence (Prinsloo &amp; Slade, 2014). There is also a risk of algorithmic discrimination if demographic proxies embedded in engagement patterns perpetuate structural inequalities — for example, if students from lower socioeconomic backgrounds consistently exhibit lower VLE engagement due to limited internet access rather than disengagement, classifying them as high-risk may misdirect intervention rather than addressing the root cause.</w:t>
      </w:r>
    </w:p>
    <w:p>
      <w:pPr>
        <w:spacing w:after="160" w:before="0"/>
        <w:ind w:firstLine="720"/>
      </w:pPr>
      <w:r>
        <w:rPr>
          <w:rFonts w:ascii="Times New Roman" w:cs="Times New Roman" w:eastAsia="Times New Roman" w:hAnsi="Times New Roman"/>
          <w:color w:val="1A1A1A"/>
          <w:sz w:val="24"/>
          <w:szCs w:val="24"/>
        </w:rPr>
        <w:t xml:space="preserve">Transparency, explainability, and informed consent are therefore essential prerequisites for any deployment of models of this type. Feature importance outputs can support model explainability at the population level, but individual students should have access to meaningful explanations of their risk classifications. Institutions should treat model outputs as decision-support tools — one input among many available to advisers — rather than as deterministic prescriptions.</w:t>
      </w:r>
    </w:p>
    <w:p>
      <w:pPr>
        <w:pStyle w:val="Heading2"/>
        <w:spacing w:after="80" w:before="240"/>
      </w:pPr>
      <w:r>
        <w:rPr>
          <w:rFonts w:ascii="Arial" w:cs="Arial" w:eastAsia="Arial" w:hAnsi="Arial"/>
          <w:b/>
          <w:bCs/>
          <w:i/>
          <w:iCs/>
          <w:color w:val="1A1A1A"/>
          <w:sz w:val="22"/>
          <w:szCs w:val="22"/>
        </w:rPr>
        <w:t xml:space="preserve">6.4 Limitations</w:t>
      </w:r>
    </w:p>
    <w:p>
      <w:pPr>
        <w:spacing w:after="160" w:before="0"/>
        <w:ind w:firstLine="720"/>
      </w:pPr>
      <w:r>
        <w:rPr>
          <w:rFonts w:ascii="Times New Roman" w:cs="Times New Roman" w:eastAsia="Times New Roman" w:hAnsi="Times New Roman"/>
          <w:color w:val="1A1A1A"/>
          <w:sz w:val="24"/>
          <w:szCs w:val="24"/>
        </w:rPr>
        <w:t xml:space="preserve">Several limitations constrain the generalisability of the present findings. The OULAD dataset is drawn exclusively from the UK Open University, a large-scale distance learning institution with a particular student demographic profile and course delivery model. Results may not transfer directly to campus-based institutions, Massive Open Online Courses (MOOCs), or institutions in different national contexts. The dataset covers a specific two-year period (2013–2014); if course structures, student populations, or VLE behaviours have changed since, models trained on this data may require recalibration.</w:t>
      </w:r>
    </w:p>
    <w:p>
      <w:pPr>
        <w:spacing w:after="160" w:before="0"/>
        <w:ind w:firstLine="720"/>
      </w:pPr>
      <w:r>
        <w:rPr>
          <w:rFonts w:ascii="Times New Roman" w:cs="Times New Roman" w:eastAsia="Times New Roman" w:hAnsi="Times New Roman"/>
          <w:color w:val="1A1A1A"/>
          <w:sz w:val="24"/>
          <w:szCs w:val="24"/>
        </w:rPr>
        <w:t xml:space="preserve">The study does not implement temporal cross-validation — the ability of early-week engagement data to predict eventual dropout outcomes. The analysis here is retrospective, using full-course engagement data. A prospective deployment should evaluate how predictive accuracy degrades as the prediction window moves earlier in the course lifecycle, which is operationally critical for timely intervention.</w:t>
      </w:r>
    </w:p>
    <w:p>
      <w:pPr>
        <w:spacing w:after="160" w:before="0"/>
        <w:ind w:firstLine="720"/>
      </w:pPr>
      <w:r>
        <w:rPr>
          <w:rFonts w:ascii="Times New Roman" w:cs="Times New Roman" w:eastAsia="Times New Roman" w:hAnsi="Times New Roman"/>
          <w:color w:val="1A1A1A"/>
          <w:sz w:val="24"/>
          <w:szCs w:val="24"/>
        </w:rPr>
        <w:t xml:space="preserve">Finally, no hyperparameter optimisation was conducted for the Random Forest. Cross-validated grid search over n_estimators, max_depth, and min_samples_leaf would likely yield further accuracy improvements, and should be addressed in future work.</w:t>
      </w:r>
    </w:p>
    <w:p>
      <w:pPr>
        <w:spacing w:after="0" w:before="200"/>
      </w:pPr>
      <w:r>
        <w:t xml:space="preserve"/>
      </w:r>
    </w:p>
    <w:p>
      <w:pPr>
        <w:pStyle w:val="Heading1"/>
        <w:spacing w:after="120" w:before="360"/>
      </w:pPr>
      <w:r>
        <w:rPr>
          <w:rFonts w:ascii="Arial" w:cs="Arial" w:eastAsia="Arial" w:hAnsi="Arial"/>
          <w:b/>
          <w:bCs/>
          <w:color w:val="000000"/>
          <w:sz w:val="24"/>
          <w:szCs w:val="24"/>
        </w:rPr>
        <w:t xml:space="preserve">7. CONCLUSION AND FUTURE WORK</w:t>
      </w:r>
    </w:p>
    <w:p>
      <w:pPr>
        <w:spacing w:after="160" w:before="0"/>
        <w:ind w:firstLine="720"/>
      </w:pPr>
      <w:r>
        <w:rPr>
          <w:rFonts w:ascii="Times New Roman" w:cs="Times New Roman" w:eastAsia="Times New Roman" w:hAnsi="Times New Roman"/>
          <w:color w:val="1A1A1A"/>
          <w:sz w:val="24"/>
          <w:szCs w:val="24"/>
        </w:rPr>
        <w:t xml:space="preserve">This study has demonstrated that machine learning models trained on integrated OULAD features — spanning student demographics, VLE interaction behaviour, academic performance, and registration lifecycle signals — can achieve meaningful accuracy in predicting student dropout in online higher education. The Random Forest classifier achieved 84.5% accuracy and a ROC-AUC of approximately 0.88 on a held-out test set, substantially outperforming a Logistic Regression baseline. Feature importance analysis confirmed that VLE engagement intensity (total_clicks, engagement_score) and academic performance (avg_score) are the most actionable predictors available to institutional early warning systems.</w:t>
      </w:r>
    </w:p>
    <w:p>
      <w:pPr>
        <w:spacing w:after="160" w:before="0"/>
        <w:ind w:firstLine="720"/>
      </w:pPr>
      <w:r>
        <w:rPr>
          <w:rFonts w:ascii="Times New Roman" w:cs="Times New Roman" w:eastAsia="Times New Roman" w:hAnsi="Times New Roman"/>
          <w:color w:val="1A1A1A"/>
          <w:sz w:val="24"/>
          <w:szCs w:val="24"/>
        </w:rPr>
        <w:t xml:space="preserve">The three-tier risk stratification framework — Low, Medium, High — operationalises model outputs in a format suited to tiered administrative intervention. Coupled with an interactive Power BI dashboard enabling demographic filtering and engagement-performance cross-analysis, the system represents a complete analytical pipeline from raw OULAD data to actionable institutional intelligence.</w:t>
      </w:r>
    </w:p>
    <w:p>
      <w:pPr>
        <w:spacing w:after="160" w:before="0"/>
        <w:ind w:firstLine="720"/>
      </w:pPr>
      <w:r>
        <w:rPr>
          <w:rFonts w:ascii="Times New Roman" w:cs="Times New Roman" w:eastAsia="Times New Roman" w:hAnsi="Times New Roman"/>
          <w:color w:val="1A1A1A"/>
          <w:sz w:val="24"/>
          <w:szCs w:val="24"/>
        </w:rPr>
        <w:t xml:space="preserve">Future work should pursue several directions. First, temporal modelling — training models on week-by-week snapshots of engagement data — would establish how early in the academic calendar reliable dropout predictions can be generated, a critical parameter for intervention planning. Second, sequence-based models such as Long Short-Term Memory networks (LSTMs) may better capture the temporal dynamics of engagement decline that precede withdrawal. Third, causal inference methods (e.g., propensity score matching) could be applied to evaluate whether interventions triggered by the risk scoring system actually improve retention outcomes, addressing the evaluation gap that remains a challenge across the field. Fourth, external validation using datasets from different institutions and national contexts would support claims of generalisability. Finally, participatory design with student services staff and students themselves would ensure that any deployed system aligns with practical workflows and institutional ethics commitments.</w:t>
      </w:r>
    </w:p>
    <w:p>
      <w:pPr>
        <w:spacing w:after="160" w:before="0"/>
        <w:ind w:firstLine="720"/>
      </w:pPr>
      <w:r>
        <w:rPr>
          <w:rFonts w:ascii="Times New Roman" w:cs="Times New Roman" w:eastAsia="Times New Roman" w:hAnsi="Times New Roman"/>
          <w:color w:val="1A1A1A"/>
          <w:sz w:val="24"/>
          <w:szCs w:val="24"/>
        </w:rPr>
        <w:t xml:space="preserve">As online enrolment continues to grow globally, the stakes attached to dropout prediction and early intervention will only increase. Learning analytics offers genuine promise for improving student outcomes, but realising that promise requires rigorous methodological practice, institutional commitment to ethical deployment, and sustained investment in the integration of predictive insights into student support workflows. This study contributes empirical and methodological foundations toward those goals.</w:t>
      </w:r>
    </w:p>
    <w:p>
      <w:pPr>
        <w:spacing w:after="0" w:before="200"/>
      </w:pPr>
      <w:r>
        <w:t xml:space="preserve"/>
      </w:r>
    </w:p>
    <w:p>
      <w:pPr>
        <w:pStyle w:val="Heading1"/>
        <w:spacing w:after="120" w:before="360"/>
      </w:pPr>
      <w:r>
        <w:rPr>
          <w:rFonts w:ascii="Arial" w:cs="Arial" w:eastAsia="Arial" w:hAnsi="Arial"/>
          <w:b/>
          <w:bCs/>
          <w:color w:val="000000"/>
          <w:sz w:val="24"/>
          <w:szCs w:val="24"/>
        </w:rPr>
        <w:t xml:space="preserve">REFERENCES</w:t>
      </w:r>
    </w:p>
    <w:p>
      <w:pPr>
        <w:pBdr>
          <w:bottom w:val="single" w:color="AAAAAA" w:sz="4"/>
        </w:pBdr>
        <w:spacing w:after="80" w:before="80"/>
      </w:pPr>
    </w:p>
    <w:p>
      <w:pPr>
        <w:spacing w:after="0" w:before="80"/>
      </w:pPr>
      <w:r>
        <w:t xml:space="preserve"/>
      </w:r>
    </w:p>
    <w:p>
      <w:pPr>
        <w:spacing w:after="120" w:before="0"/>
        <w:ind w:left="720" w:hanging="720"/>
      </w:pPr>
      <w:r>
        <w:rPr>
          <w:rFonts w:ascii="Times New Roman" w:cs="Times New Roman" w:eastAsia="Times New Roman" w:hAnsi="Times New Roman"/>
          <w:color w:val="1A1A1A"/>
          <w:sz w:val="24"/>
          <w:szCs w:val="24"/>
        </w:rPr>
        <w:t xml:space="preserve">Agudo-Peregrina, Á. F., Iglesias-Pradas, S., Conde-González, M. Á., &amp; Hernández-García, Á. (2014). Can we predict success from log data in VLEs? Classification of interactions for learning analytics and their relation with performance in VLE-supported F2F and online learning. Computers in Human Behavior, 31, 542–550.</w:t>
      </w:r>
    </w:p>
    <w:p>
      <w:pPr>
        <w:spacing w:after="120" w:before="0"/>
        <w:ind w:left="720" w:hanging="720"/>
      </w:pPr>
      <w:r>
        <w:rPr>
          <w:rFonts w:ascii="Times New Roman" w:cs="Times New Roman" w:eastAsia="Times New Roman" w:hAnsi="Times New Roman"/>
          <w:color w:val="1A1A1A"/>
          <w:sz w:val="24"/>
          <w:szCs w:val="24"/>
        </w:rPr>
        <w:t xml:space="preserve">Amrieh, E. A., Hamtini, T., &amp; Aljarah, I. (2016). Mining educational data to predict student's academic performance using ensemble methods. International Journal of Database Theory and Application, 9(8), 119–136.</w:t>
      </w:r>
    </w:p>
    <w:p>
      <w:pPr>
        <w:spacing w:after="120" w:before="0"/>
        <w:ind w:left="720" w:hanging="720"/>
      </w:pPr>
      <w:r>
        <w:rPr>
          <w:rFonts w:ascii="Times New Roman" w:cs="Times New Roman" w:eastAsia="Times New Roman" w:hAnsi="Times New Roman"/>
          <w:color w:val="1A1A1A"/>
          <w:sz w:val="24"/>
          <w:szCs w:val="24"/>
        </w:rPr>
        <w:t xml:space="preserve">Arnold, K. E., &amp; Pistilli, M. D. (2012). Course signals at Purdue: Using learning analytics to increase student success. Proceedings of the 2nd International Conference on Learning Analytics and Knowledge (pp. 267–270). ACM.</w:t>
      </w:r>
    </w:p>
    <w:p>
      <w:pPr>
        <w:spacing w:after="120" w:before="0"/>
        <w:ind w:left="720" w:hanging="720"/>
      </w:pPr>
      <w:r>
        <w:rPr>
          <w:rFonts w:ascii="Times New Roman" w:cs="Times New Roman" w:eastAsia="Times New Roman" w:hAnsi="Times New Roman"/>
          <w:color w:val="1A1A1A"/>
          <w:sz w:val="24"/>
          <w:szCs w:val="24"/>
        </w:rPr>
        <w:t xml:space="preserve">Baker, R. S., &amp; Inventado, P. S. (2014). Educational data mining and learning analytics. In J. Larusson &amp; B. White (Eds.), Learning analytics: From research to practice (pp. 61–75). Springer.</w:t>
      </w:r>
    </w:p>
    <w:p>
      <w:pPr>
        <w:spacing w:after="120" w:before="0"/>
        <w:ind w:left="720" w:hanging="720"/>
      </w:pPr>
      <w:r>
        <w:rPr>
          <w:rFonts w:ascii="Times New Roman" w:cs="Times New Roman" w:eastAsia="Times New Roman" w:hAnsi="Times New Roman"/>
          <w:color w:val="1A1A1A"/>
          <w:sz w:val="24"/>
          <w:szCs w:val="24"/>
        </w:rPr>
        <w:t xml:space="preserve">Bean, J. P. (1980). Dropouts and turnover: The synthesis and test of a causal model of student attrition. Research in Higher Education, 12(2), 155–187.</w:t>
      </w:r>
    </w:p>
    <w:p>
      <w:pPr>
        <w:spacing w:after="120" w:before="0"/>
        <w:ind w:left="720" w:hanging="720"/>
      </w:pPr>
      <w:r>
        <w:rPr>
          <w:rFonts w:ascii="Times New Roman" w:cs="Times New Roman" w:eastAsia="Times New Roman" w:hAnsi="Times New Roman"/>
          <w:color w:val="1A1A1A"/>
          <w:sz w:val="24"/>
          <w:szCs w:val="24"/>
        </w:rPr>
        <w:t xml:space="preserve">Borrella, I., Caballero-Caballero, S., &amp; Ponce-Cueto, E. (2019). Predict and intervene: Addressing the dropout problem in a MOOC-based program. Proceedings of the Sixth ACM Conference on Learning @ Scale.</w:t>
      </w:r>
    </w:p>
    <w:p>
      <w:pPr>
        <w:spacing w:after="120" w:before="0"/>
        <w:ind w:left="720" w:hanging="720"/>
      </w:pPr>
      <w:r>
        <w:rPr>
          <w:rFonts w:ascii="Times New Roman" w:cs="Times New Roman" w:eastAsia="Times New Roman" w:hAnsi="Times New Roman"/>
          <w:color w:val="1A1A1A"/>
          <w:sz w:val="24"/>
          <w:szCs w:val="24"/>
        </w:rPr>
        <w:t xml:space="preserve">Breiman, L. (2001). Random forests. Machine Learning, 45(1), 5–32.</w:t>
      </w:r>
    </w:p>
    <w:p>
      <w:pPr>
        <w:spacing w:after="120" w:before="0"/>
        <w:ind w:left="720" w:hanging="720"/>
      </w:pPr>
      <w:r>
        <w:rPr>
          <w:rFonts w:ascii="Times New Roman" w:cs="Times New Roman" w:eastAsia="Times New Roman" w:hAnsi="Times New Roman"/>
          <w:color w:val="1A1A1A"/>
          <w:sz w:val="24"/>
          <w:szCs w:val="24"/>
        </w:rPr>
        <w:t xml:space="preserve">Chawla, N. V., Bowyer, K. W., Hall, L. O., &amp; Kegelmeyer, W. P. (2002). SMOTE: Synthetic minority over-sampling technique. Journal of Artificial Intelligence Research, 16, 321–357.</w:t>
      </w:r>
    </w:p>
    <w:p>
      <w:pPr>
        <w:spacing w:after="120" w:before="0"/>
        <w:ind w:left="720" w:hanging="720"/>
      </w:pPr>
      <w:r>
        <w:rPr>
          <w:rFonts w:ascii="Times New Roman" w:cs="Times New Roman" w:eastAsia="Times New Roman" w:hAnsi="Times New Roman"/>
          <w:color w:val="1A1A1A"/>
          <w:sz w:val="24"/>
          <w:szCs w:val="24"/>
        </w:rPr>
        <w:t xml:space="preserve">Coates, H. (2007). A model of online and general campus-based student engagement. Assessment &amp; Evaluation in Higher Education, 32(2), 121–141.</w:t>
      </w:r>
    </w:p>
    <w:p>
      <w:pPr>
        <w:spacing w:after="120" w:before="0"/>
        <w:ind w:left="720" w:hanging="720"/>
      </w:pPr>
      <w:r>
        <w:rPr>
          <w:rFonts w:ascii="Times New Roman" w:cs="Times New Roman" w:eastAsia="Times New Roman" w:hAnsi="Times New Roman"/>
          <w:color w:val="1A1A1A"/>
          <w:sz w:val="24"/>
          <w:szCs w:val="24"/>
        </w:rPr>
        <w:t xml:space="preserve">Dekker, G. W., Pechenizkiy, M., &amp; Vleeshouwers, J. M. (2009). Predicting students drop out: A case study. Proceedings of the 2nd International Conference on Educational Data Mining (pp. 41–50).</w:t>
      </w:r>
    </w:p>
    <w:p>
      <w:pPr>
        <w:spacing w:after="120" w:before="0"/>
        <w:ind w:left="720" w:hanging="720"/>
      </w:pPr>
      <w:r>
        <w:rPr>
          <w:rFonts w:ascii="Times New Roman" w:cs="Times New Roman" w:eastAsia="Times New Roman" w:hAnsi="Times New Roman"/>
          <w:color w:val="1A1A1A"/>
          <w:sz w:val="24"/>
          <w:szCs w:val="24"/>
        </w:rPr>
        <w:t xml:space="preserve">Delen, D. (2010). A comparative analysis of machine learning techniques for student retention management. Decision Support Systems, 49(4), 498–506.</w:t>
      </w:r>
    </w:p>
    <w:p>
      <w:pPr>
        <w:spacing w:after="120" w:before="0"/>
        <w:ind w:left="720" w:hanging="720"/>
      </w:pPr>
      <w:r>
        <w:rPr>
          <w:rFonts w:ascii="Times New Roman" w:cs="Times New Roman" w:eastAsia="Times New Roman" w:hAnsi="Times New Roman"/>
          <w:color w:val="1A1A1A"/>
          <w:sz w:val="24"/>
          <w:szCs w:val="24"/>
        </w:rPr>
        <w:t xml:space="preserve">Essa, A., &amp; Ayad, H. (2012). Student success system: Risk analytics and data visualization using ensembles of predictive models. Proceedings of the 2nd International Conference on Learning Analytics and Knowledge (pp. 158–161). ACM.</w:t>
      </w:r>
    </w:p>
    <w:p>
      <w:pPr>
        <w:spacing w:after="120" w:before="0"/>
        <w:ind w:left="720" w:hanging="720"/>
      </w:pPr>
      <w:r>
        <w:rPr>
          <w:rFonts w:ascii="Times New Roman" w:cs="Times New Roman" w:eastAsia="Times New Roman" w:hAnsi="Times New Roman"/>
          <w:color w:val="1A1A1A"/>
          <w:sz w:val="24"/>
          <w:szCs w:val="24"/>
        </w:rPr>
        <w:t xml:space="preserve">Fawcett, T. (2006). An introduction to ROC analysis. Pattern Recognition Letters, 27(8), 861–874.</w:t>
      </w:r>
    </w:p>
    <w:p>
      <w:pPr>
        <w:spacing w:after="120" w:before="0"/>
        <w:ind w:left="720" w:hanging="720"/>
      </w:pPr>
      <w:r>
        <w:rPr>
          <w:rFonts w:ascii="Times New Roman" w:cs="Times New Roman" w:eastAsia="Times New Roman" w:hAnsi="Times New Roman"/>
          <w:color w:val="1A1A1A"/>
          <w:sz w:val="24"/>
          <w:szCs w:val="24"/>
        </w:rPr>
        <w:t xml:space="preserve">Fei, M., &amp; Liu, D. (2015). Temporal models for predicting student dropout in massive open online courses. Proceedings of the 2015 IEEE International Conference on Data Mining Workshop.</w:t>
      </w:r>
    </w:p>
    <w:p>
      <w:pPr>
        <w:spacing w:after="120" w:before="0"/>
        <w:ind w:left="720" w:hanging="720"/>
      </w:pPr>
      <w:r>
        <w:rPr>
          <w:rFonts w:ascii="Times New Roman" w:cs="Times New Roman" w:eastAsia="Times New Roman" w:hAnsi="Times New Roman"/>
          <w:color w:val="1A1A1A"/>
          <w:sz w:val="24"/>
          <w:szCs w:val="24"/>
        </w:rPr>
        <w:t xml:space="preserve">Hlosta, M., Zdrahal, Z., &amp; Zendulka, J. (2017). Ouroboros: Early identification of at-risk students without models based on legacy data. Proceedings of the 7th International Learning Analytics and Knowledge Conference (pp. 6–15). ACM.</w:t>
      </w:r>
    </w:p>
    <w:p>
      <w:pPr>
        <w:spacing w:after="120" w:before="0"/>
        <w:ind w:left="720" w:hanging="720"/>
      </w:pPr>
      <w:r>
        <w:rPr>
          <w:rFonts w:ascii="Times New Roman" w:cs="Times New Roman" w:eastAsia="Times New Roman" w:hAnsi="Times New Roman"/>
          <w:color w:val="1A1A1A"/>
          <w:sz w:val="24"/>
          <w:szCs w:val="24"/>
        </w:rPr>
        <w:t xml:space="preserve">Jordan, K. (2014). Initial trends in enrolment and completion of massive open online courses. The International Review of Research in Open and Distributed Learning, 15(1).</w:t>
      </w:r>
    </w:p>
    <w:p>
      <w:pPr>
        <w:spacing w:after="120" w:before="0"/>
        <w:ind w:left="720" w:hanging="720"/>
      </w:pPr>
      <w:r>
        <w:rPr>
          <w:rFonts w:ascii="Times New Roman" w:cs="Times New Roman" w:eastAsia="Times New Roman" w:hAnsi="Times New Roman"/>
          <w:color w:val="1A1A1A"/>
          <w:sz w:val="24"/>
          <w:szCs w:val="24"/>
        </w:rPr>
        <w:t xml:space="preserve">Kohavi, R. (1995). A study of cross-validation and bootstrap for accuracy estimation and model selection. Proceedings of the 14th International Joint Conference on Artificial Intelligence, 2, 1137–1143.</w:t>
      </w:r>
    </w:p>
    <w:p>
      <w:pPr>
        <w:spacing w:after="120" w:before="0"/>
        <w:ind w:left="720" w:hanging="720"/>
      </w:pPr>
      <w:r>
        <w:rPr>
          <w:rFonts w:ascii="Times New Roman" w:cs="Times New Roman" w:eastAsia="Times New Roman" w:hAnsi="Times New Roman"/>
          <w:color w:val="1A1A1A"/>
          <w:sz w:val="24"/>
          <w:szCs w:val="24"/>
        </w:rPr>
        <w:t xml:space="preserve">Kotsiantis, S. B. (2013). Decision trees: A recent overview. Artificial Intelligence Review, 39(4), 261–283.</w:t>
      </w:r>
    </w:p>
    <w:p>
      <w:pPr>
        <w:spacing w:after="120" w:before="0"/>
        <w:ind w:left="720" w:hanging="720"/>
      </w:pPr>
      <w:r>
        <w:rPr>
          <w:rFonts w:ascii="Times New Roman" w:cs="Times New Roman" w:eastAsia="Times New Roman" w:hAnsi="Times New Roman"/>
          <w:color w:val="1A1A1A"/>
          <w:sz w:val="24"/>
          <w:szCs w:val="24"/>
        </w:rPr>
        <w:t xml:space="preserve">Kotsiantis, S., Pierrakeas, C., &amp; Pintelas, P. (2004). Predicting students' performance in distance learning using machine learning techniques. Applied Artificial Intelligence, 18(5), 411–426.</w:t>
      </w:r>
    </w:p>
    <w:p>
      <w:pPr>
        <w:spacing w:after="120" w:before="0"/>
        <w:ind w:left="720" w:hanging="720"/>
      </w:pPr>
      <w:r>
        <w:rPr>
          <w:rFonts w:ascii="Times New Roman" w:cs="Times New Roman" w:eastAsia="Times New Roman" w:hAnsi="Times New Roman"/>
          <w:color w:val="1A1A1A"/>
          <w:sz w:val="24"/>
          <w:szCs w:val="24"/>
        </w:rPr>
        <w:t xml:space="preserve">Kuzilek, J., Hlosta, M., &amp; Zdrahal, Z. (2017). Open University Learning Analytics Dataset. Scientific Data, 4, 170171.</w:t>
      </w:r>
    </w:p>
    <w:p>
      <w:pPr>
        <w:spacing w:after="120" w:before="0"/>
        <w:ind w:left="720" w:hanging="720"/>
      </w:pPr>
      <w:r>
        <w:rPr>
          <w:rFonts w:ascii="Times New Roman" w:cs="Times New Roman" w:eastAsia="Times New Roman" w:hAnsi="Times New Roman"/>
          <w:color w:val="1A1A1A"/>
          <w:sz w:val="24"/>
          <w:szCs w:val="24"/>
        </w:rPr>
        <w:t xml:space="preserve">Prinsloo, P., &amp; Slade, S. (2014). Educational triage in open distance learning: Walking a moral tightrope. The International Review of Research in Open and Distributed Learning, 15(4).</w:t>
      </w:r>
    </w:p>
    <w:p>
      <w:pPr>
        <w:spacing w:after="120" w:before="0"/>
        <w:ind w:left="720" w:hanging="720"/>
      </w:pPr>
      <w:r>
        <w:rPr>
          <w:rFonts w:ascii="Times New Roman" w:cs="Times New Roman" w:eastAsia="Times New Roman" w:hAnsi="Times New Roman"/>
          <w:color w:val="1A1A1A"/>
          <w:sz w:val="24"/>
          <w:szCs w:val="24"/>
        </w:rPr>
        <w:t xml:space="preserve">Romero, C., &amp; Ventura, S. (2010). Educational data mining: A review of the state of the art. IEEE Transactions on Systems, Man, and Cybernetics, Part C, 40(6), 601–618.</w:t>
      </w:r>
    </w:p>
    <w:p>
      <w:pPr>
        <w:spacing w:after="120" w:before="0"/>
        <w:ind w:left="720" w:hanging="720"/>
      </w:pPr>
      <w:r>
        <w:rPr>
          <w:rFonts w:ascii="Times New Roman" w:cs="Times New Roman" w:eastAsia="Times New Roman" w:hAnsi="Times New Roman"/>
          <w:color w:val="1A1A1A"/>
          <w:sz w:val="24"/>
          <w:szCs w:val="24"/>
        </w:rPr>
        <w:t xml:space="preserve">Siemens, G., &amp; Long, P. (2011). Penetrating the fog: Analytics in learning and education. EDUCAUSE Review, 46(5), 30–32.</w:t>
      </w:r>
    </w:p>
    <w:p>
      <w:pPr>
        <w:spacing w:after="120" w:before="0"/>
        <w:ind w:left="720" w:hanging="720"/>
      </w:pPr>
      <w:r>
        <w:rPr>
          <w:rFonts w:ascii="Times New Roman" w:cs="Times New Roman" w:eastAsia="Times New Roman" w:hAnsi="Times New Roman"/>
          <w:color w:val="1A1A1A"/>
          <w:sz w:val="24"/>
          <w:szCs w:val="24"/>
        </w:rPr>
        <w:t xml:space="preserve">Tinto, V. (1975). Dropout from higher education: A theoretical synthesis of recent research. Review of Educational Research, 45(1), 89–125.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3"/>
      </w:pBdr>
      <w:spacing w:after="0" w:before="80"/>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3"/>
      </w:pBdr>
      <w:spacing w:after="100" w:before="0"/>
    </w:pPr>
    <w:r>
      <w:rPr>
        <w:rFonts w:ascii="Arial" w:cs="Arial" w:eastAsia="Arial" w:hAnsi="Arial"/>
        <w:i/>
        <w:iCs/>
        <w:color w:val="888888"/>
        <w:sz w:val="16"/>
        <w:szCs w:val="16"/>
      </w:rPr>
      <w:t xml:space="preserve">Predicting Student Dropout in Online Higher Education  |  OULAD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aps/>
      <w:color w:val="000000"/>
      <w:sz w:val="24"/>
      <w:szCs w:val="24"/>
    </w:rPr>
  </w:style>
  <w:style w:type="paragraph" w:styleId="Heading2">
    <w:name w:val="Heading 2"/>
    <w:basedOn w:val="Normal"/>
    <w:next w:val="Normal"/>
    <w:qFormat/>
    <w:pPr>
      <w:spacing w:after="80" w:before="240"/>
      <w:outlineLvl w:val="1"/>
    </w:pPr>
    <w:rPr>
      <w:rFonts w:ascii="Arial" w:cs="Arial" w:eastAsia="Arial" w:hAnsi="Arial"/>
      <w:b/>
      <w:bCs/>
      <w:i/>
      <w:i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2026-06-05T07:22:47.813Z</dcterms:created>
  <dcterms:modified xsi:type="dcterms:W3CDTF">2026-06-05T07:22:47.813Z</dcterms:modified>
</cp:coreProperties>
</file>

<file path=docProps/custom.xml><?xml version="1.0" encoding="utf-8"?>
<Properties xmlns="http://schemas.openxmlformats.org/officeDocument/2006/custom-properties" xmlns:vt="http://schemas.openxmlformats.org/officeDocument/2006/docPropsVTypes"/>
</file>