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A8D0"/>
          <w:sz w:val="24"/>
        </w:rPr>
        <w:t>AMD – ITRI PROJECT REVIEW</w:t>
      </w:r>
    </w:p>
    <w:p>
      <w:pPr>
        <w:jc w:val="center"/>
      </w:pPr>
      <w:r>
        <w:rPr>
          <w:rFonts w:ascii="Calibri" w:hAnsi="Calibri"/>
          <w:b/>
          <w:color w:val="0B1E3A"/>
          <w:sz w:val="44"/>
        </w:rPr>
        <w:t>MI300X Enterprise Document RAG Project Report</w:t>
      </w:r>
    </w:p>
    <w:p>
      <w:pPr>
        <w:jc w:val="center"/>
      </w:pPr>
      <w:r>
        <w:rPr>
          <w:rFonts w:ascii="Calibri" w:hAnsi="Calibri"/>
          <w:b w:val="0"/>
          <w:color w:val="1A3A5C"/>
          <w:sz w:val="24"/>
        </w:rPr>
        <w:t>Boxed / पेटी conversion onto the AMD–ITRI Project Review template</w:t>
      </w:r>
    </w:p>
    <w:p>
      <w:r>
        <w:rPr>
          <w:rFonts w:ascii="Calibri" w:hAnsi="Calibri"/>
          <w:b w:val="0"/>
          <w:sz w:val="24"/>
        </w:rPr>
        <w:t>Dr. Ammar Amjad  ·  National Yang Ming Chiao Tung University</w:t>
      </w:r>
    </w:p>
    <w:p>
      <w:r>
        <w:rPr>
          <w:rFonts w:ascii="Calibri" w:hAnsi="Calibri"/>
          <w:b w:val="0"/>
          <w:sz w:val="22"/>
        </w:rPr>
        <w:t>AMD Instinct MI300X  ·  PyTorch 2.3 / ROCm 6.2  ·  Implemented RAG prototype</w:t>
      </w:r>
    </w:p>
    <w:p>
      <w:pPr>
        <w:pStyle w:val="Heading1"/>
      </w:pPr>
      <w:r>
        <w:rPr>
          <w:color w:val="0B1E3A"/>
        </w:rPr>
        <w:t>Document control (attestation — not a legal signature)</w:t>
      </w:r>
    </w:p>
    <w:p>
      <w:r>
        <w:rPr>
          <w:rFonts w:ascii="Calibri" w:hAnsi="Calibri"/>
          <w:b w:val="0"/>
          <w:color w:val="666666"/>
          <w:sz w:val="20"/>
        </w:rPr>
        <w:t>Prepared/generated 2026-09-11 as a document-control conversion. This block is not a handwritten, cryptographic, or legal personal signature.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0B1E3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824"/>
            <w:shd w:fill="0B1E3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/>
                <w:sz w:val="20"/>
              </w:rPr>
              <w:t>Document title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20"/>
              </w:rPr>
              <w:t>AMD–ITRI Project Review: MI300X Enterprise Document RAG (boxed / पेटी format)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/>
                <w:sz w:val="20"/>
              </w:rPr>
              <w:t>Template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20"/>
              </w:rPr>
              <w:t>AMD–ITRI PROJECT REVIEW boxed slide template (navy + cyan rounded boxes)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/>
                <w:sz w:val="20"/>
              </w:rPr>
              <w:t>पेटी interpretation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20"/>
              </w:rPr>
              <w:t>Official boxed layout of the Project Review deck, not a ZIP package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/>
                <w:sz w:val="20"/>
              </w:rPr>
              <w:t>एमडीए टारी interpretation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20"/>
              </w:rPr>
              <w:t>AMD ITRI Project Review template (not an SEC MD&amp;A filing)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/>
                <w:sz w:val="20"/>
              </w:rPr>
              <w:t>Version / date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20"/>
              </w:rPr>
              <w:t>1.0  ·  2026-09-11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/>
                <w:sz w:val="20"/>
              </w:rPr>
              <w:t>Author (source)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20"/>
              </w:rPr>
              <w:t>Dr. Ammar Amjad, NYCU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/>
                <w:sz w:val="20"/>
              </w:rPr>
              <w:t>Prepared from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20"/>
              </w:rPr>
              <w:t>AMD-ITRI-Project-Review-TEMPLATE.pdf + AMD-ITRI-MI300X-Final-Comparison-Report-SOURCE.pdf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/>
                <w:sz w:val="20"/>
              </w:rPr>
              <w:t>Classification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20"/>
              </w:rPr>
              <w:t>Project review · Technical report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/>
                <w:sz w:val="20"/>
              </w:rPr>
              <w:t>Signature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20"/>
              </w:rPr>
              <w:t>None forged. Document-control attestation only.</w:t>
            </w:r>
          </w:p>
        </w:tc>
      </w:tr>
    </w:tbl>
    <w:p/>
    <w:p>
      <w:pPr>
        <w:pStyle w:val="Heading1"/>
      </w:pPr>
      <w:r>
        <w:rPr>
          <w:color w:val="0B1E3A"/>
        </w:rPr>
        <w:t>1. Business problem and implemented solution</w:t>
      </w:r>
    </w:p>
    <w:p>
      <w:pPr>
        <w:pStyle w:val="Heading2"/>
      </w:pPr>
      <w:r>
        <w:rPr>
          <w:color w:val="0B1E3A"/>
        </w:rPr>
        <w:t>BUSINESS PROBLEM</w:t>
      </w:r>
    </w:p>
    <w:p>
      <w:r>
        <w:rPr>
          <w:rFonts w:ascii="Calibri" w:hAnsi="Calibri"/>
          <w:b w:val="0"/>
          <w:sz w:val="22"/>
        </w:rPr>
        <w:t>Enterprise knowledge is spread across PDF reports and Excel sheets. Finding the right information manually is slow, and answers often lack a traceable source.</w:t>
      </w:r>
    </w:p>
    <w:p>
      <w:pPr>
        <w:pStyle w:val="Heading2"/>
      </w:pPr>
      <w:r>
        <w:rPr>
          <w:color w:val="0B1E3A"/>
        </w:rPr>
        <w:t>IMPLEMENTED SOLUTION</w:t>
      </w:r>
    </w:p>
    <w:p>
      <w:r>
        <w:rPr>
          <w:rFonts w:ascii="Calibri" w:hAnsi="Calibri"/>
          <w:b w:val="0"/>
          <w:sz w:val="22"/>
        </w:rPr>
        <w:t>Retrieval-Augmented Generation (RAG): the system first retrieves the most relevant document chunks, then Qwen2.5-7B-Instruct generates a Traditional Chinese answer grounded in them.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0B1E3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4824"/>
            <w:shd w:fill="0B1E3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Content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/>
                <w:sz w:val="20"/>
              </w:rPr>
              <w:t>1 Data Preparation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20"/>
              </w:rPr>
              <w:t>PDF + Excel → text extraction → 500-char chunks → BGE embeddings → vector index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/>
                <w:sz w:val="20"/>
              </w:rPr>
              <w:t>2 Retrieval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20"/>
              </w:rPr>
              <w:t>User question → query embedding → dot-product similarity → Top-3 chunks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/>
                <w:sz w:val="20"/>
              </w:rPr>
              <w:t>3 Generation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20"/>
              </w:rPr>
              <w:t>Retrieved context + sources → Qwen2.5-7B-Instruct → Traditional Chinese answer with filenames</w:t>
            </w:r>
          </w:p>
        </w:tc>
      </w:tr>
    </w:tbl>
    <w:p/>
    <w:p>
      <w:pPr>
        <w:pStyle w:val="Heading1"/>
      </w:pPr>
      <w:r>
        <w:rPr>
          <w:color w:val="0B1E3A"/>
        </w:rPr>
        <w:t>2. Project objective</w:t>
      </w:r>
    </w:p>
    <w:p>
      <w:pPr>
        <w:pStyle w:val="Heading2"/>
      </w:pPr>
      <w:r>
        <w:rPr>
          <w:color w:val="0B1E3A"/>
        </w:rPr>
        <w:t>PROBLEM ADDRESSED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Information distributed across PDF and Excel files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Manual search is time-consuming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Answers may lack document sources / need traceable document sources</w:t>
      </w:r>
    </w:p>
    <w:p>
      <w:pPr>
        <w:pStyle w:val="Heading2"/>
      </w:pPr>
      <w:r>
        <w:rPr>
          <w:color w:val="0B1E3A"/>
        </w:rPr>
        <w:t>IMPLEMENTED OBJECTIVE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Build a searchable document knowledge base / Chinese document knowledge index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Retrieve relevant chunks for a question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Generate source-grounded Traditional Chinese answers with Qwen</w:t>
      </w:r>
    </w:p>
    <w:p>
      <w:pPr>
        <w:pStyle w:val="Heading1"/>
      </w:pPr>
      <w:r>
        <w:rPr>
          <w:color w:val="0B1E3A"/>
        </w:rPr>
        <w:t>3. Knowledge index construction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PDF + Excel: enterprise source documents (PDF pages; Excel rows and sheets)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Text extraction: pypdf (PDF); openpyxl (Excel rows)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Chunking: clean text; 500-character chunks; 100-character overlap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BGE embeddings: BAAI/bge-small-zh-v1.5; normalized, on MI300X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Vector index: gama_embeddings.npy, gama_chunks.json, index_summary.json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0B1E3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Index fact</w:t>
            </w:r>
          </w:p>
        </w:tc>
        <w:tc>
          <w:tcPr>
            <w:tcW w:type="dxa" w:w="4824"/>
            <w:shd w:fill="0B1E3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/>
                <w:sz w:val="20"/>
              </w:rPr>
              <w:t>Document sections extracted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20"/>
              </w:rPr>
              <w:t>25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/>
                <w:sz w:val="20"/>
              </w:rPr>
              <w:t>Searchable text chunks created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20"/>
              </w:rPr>
              <w:t>17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/>
                <w:sz w:val="20"/>
              </w:rPr>
              <w:t>Embedding normalization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20"/>
              </w:rPr>
              <w:t>Normalized for dot-product similarity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/>
                <w:sz w:val="20"/>
              </w:rPr>
              <w:t>Persistence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20"/>
              </w:rPr>
              <w:t>Index persisted to disk for reuse across queries</w:t>
            </w:r>
          </w:p>
        </w:tc>
      </w:tr>
    </w:tbl>
    <w:p/>
    <w:p>
      <w:pPr>
        <w:pStyle w:val="Heading1"/>
      </w:pPr>
      <w:r>
        <w:rPr>
          <w:color w:val="0B1E3A"/>
        </w:rPr>
        <w:t>4. Implemented architecture</w:t>
      </w:r>
    </w:p>
    <w:p>
      <w:r>
        <w:rPr>
          <w:rFonts w:ascii="Calibri" w:hAnsi="Calibri"/>
          <w:b/>
          <w:sz w:val="22"/>
        </w:rPr>
        <w:t>OFFLINE · INDEX CONSTRUCTION</w:t>
      </w:r>
    </w:p>
    <w:p>
      <w:r>
        <w:rPr>
          <w:rFonts w:ascii="Calibri" w:hAnsi="Calibri"/>
          <w:b w:val="0"/>
          <w:sz w:val="22"/>
        </w:rPr>
        <w:t>Enterprise documents (PDF · Excel) → text extraction &amp; chunking (pypdf · openpyxl · 500/100) → BGE embeddings (bge-small-zh-v1.5 · MI300X) → vector index (.npy + .json).</w:t>
      </w:r>
    </w:p>
    <w:p>
      <w:r>
        <w:rPr>
          <w:rFonts w:ascii="Calibri" w:hAnsi="Calibri"/>
          <w:b/>
          <w:sz w:val="22"/>
        </w:rPr>
        <w:t>ONLINE · QUESTION ANSWERING</w:t>
      </w:r>
    </w:p>
    <w:p>
      <w:r>
        <w:rPr>
          <w:rFonts w:ascii="Calibri" w:hAnsi="Calibri"/>
          <w:b w:val="0"/>
          <w:sz w:val="22"/>
        </w:rPr>
        <w:t>User question (Traditional Chinese) → Top-3 retrieval (normalized · dot-product) → Qwen2.5-7B-Instruct (bfloat16 · device_map=auto) → grounded answer (Traditional Chinese + source filenames).</w:t>
      </w:r>
    </w:p>
    <w:p>
      <w:r>
        <w:rPr>
          <w:rFonts w:ascii="Calibri" w:hAnsi="Calibri"/>
          <w:b w:val="0"/>
          <w:sz w:val="22"/>
        </w:rPr>
        <w:t>Runs on AMD Instinct MI300X · PyTorch 2.3 · ROCm 6.2. The system retrieves relevant document evidence before Qwen2.5-7B generates the answer.</w:t>
      </w:r>
    </w:p>
    <w:p>
      <w:pPr>
        <w:pStyle w:val="Heading2"/>
      </w:pPr>
      <w:r>
        <w:rPr>
          <w:color w:val="0B1E3A"/>
        </w:rPr>
        <w:t>Additional facts from the comparison-source architecture diagram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Sentence Transformers; batch size 32; normalized vector embeddings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Index metadata: source + page + sheet + row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Similarity: score(q, d) = qᵀd on normalized vectors (cosine)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Generation: max_new_tokens = 300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Observed LLM generation time on the diagram: 2.55 seconds</w:t>
      </w:r>
    </w:p>
    <w:p>
      <w:r>
        <w:rPr>
          <w:rFonts w:ascii="Calibri" w:hAnsi="Calibri"/>
          <w:b w:val="0"/>
          <w:sz w:val="22"/>
        </w:rPr>
        <w:t>Source figure embedded in the PDF as assets/implemented-flow-source.png.</w:t>
      </w:r>
    </w:p>
    <w:p>
      <w:pPr>
        <w:pStyle w:val="Heading1"/>
      </w:pPr>
      <w:r>
        <w:rPr>
          <w:color w:val="0B1E3A"/>
        </w:rPr>
        <w:t>5. Model roles</w:t>
      </w:r>
    </w:p>
    <w:p>
      <w:pPr>
        <w:pStyle w:val="Heading2"/>
      </w:pPr>
      <w:r>
        <w:rPr>
          <w:color w:val="0B1E3A"/>
        </w:rPr>
        <w:t>BAAI/bge-small-zh-v1.5 — Embedding and retrieval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Converts document chunks and user queries into semantic / comparable vectors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Normalized vector search and Top-3 retrieval by dot-product similarity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Chinese semantic embeddings</w:t>
      </w:r>
    </w:p>
    <w:p>
      <w:pPr>
        <w:pStyle w:val="Heading2"/>
      </w:pPr>
      <w:r>
        <w:rPr>
          <w:color w:val="0B1E3A"/>
        </w:rPr>
        <w:t>Qwen2.5-7B-Instruct — Answer generation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Uses retrieved context and system instructions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Generates source-grounded Traditional Chinese answers and source filenames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bfloat16 inference on MI300X</w:t>
      </w:r>
    </w:p>
    <w:p>
      <w:r>
        <w:rPr>
          <w:rFonts w:ascii="Calibri" w:hAnsi="Calibri"/>
          <w:b/>
          <w:sz w:val="22"/>
        </w:rPr>
        <w:t>No model training or fine-tuning is claimed in this project.</w:t>
      </w:r>
    </w:p>
    <w:p>
      <w:pPr>
        <w:pStyle w:val="Heading1"/>
      </w:pPr>
      <w:r>
        <w:rPr>
          <w:color w:val="0B1E3A"/>
        </w:rPr>
        <w:t>6. Verified results and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0B1E3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KPI</w:t>
            </w:r>
          </w:p>
        </w:tc>
        <w:tc>
          <w:tcPr>
            <w:tcW w:type="dxa" w:w="4824"/>
            <w:shd w:fill="0B1E3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/>
                <w:sz w:val="20"/>
              </w:rPr>
              <w:t>Document sections extracted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20"/>
              </w:rPr>
              <w:t>25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/>
                <w:sz w:val="20"/>
              </w:rPr>
              <w:t>Searchable chunks created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20"/>
              </w:rPr>
              <w:t>17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/>
                <w:sz w:val="20"/>
              </w:rPr>
              <w:t>Observed Qwen generation time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20"/>
              </w:rPr>
              <w:t>2.55 s (single-query observation, not a general GPU benchmark)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/>
                <w:sz w:val="20"/>
              </w:rPr>
              <w:t>Retrieved chunks per query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20"/>
              </w:rPr>
              <w:t>Top-3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/>
                <w:sz w:val="20"/>
              </w:rPr>
              <w:t>Execution environment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20"/>
              </w:rPr>
              <w:t>AMD Instinct MI300X · PyTorch 2.3 · ROCm 6.2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0B1E3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Model (comparison-source chart)</w:t>
            </w:r>
          </w:p>
        </w:tc>
        <w:tc>
          <w:tcPr>
            <w:tcW w:type="dxa" w:w="4824"/>
            <w:shd w:fill="0B1E3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Observed response time (seconds)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/>
                <w:sz w:val="20"/>
              </w:rPr>
              <w:t>Qwen2.5-7B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20"/>
              </w:rPr>
              <w:t>2.55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/>
                <w:sz w:val="20"/>
              </w:rPr>
              <w:t>Llama 3.1 8B Instruct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20"/>
              </w:rPr>
              <w:t>3.1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/>
                <w:sz w:val="20"/>
              </w:rPr>
              <w:t>Mistral 7B Instruct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20"/>
              </w:rPr>
              <w:t>2.9</w:t>
            </w:r>
          </w:p>
        </w:tc>
      </w:tr>
    </w:tbl>
    <w:p/>
    <w:p>
      <w:pPr>
        <w:pStyle w:val="Heading2"/>
      </w:pPr>
      <w:r>
        <w:rPr>
          <w:color w:val="0B1E3A"/>
        </w:rPr>
        <w:t>OBSERVATIONS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Qwen2.5-7B-Instruct loaded and executed successfully on MI300X (bfloat16, device_map=auto).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The answer used the retrieved documents and stated “insufficient information” instead of inventing a third source.</w:t>
      </w:r>
    </w:p>
    <w:p>
      <w:pPr>
        <w:pStyle w:val="Heading1"/>
      </w:pPr>
      <w:r>
        <w:rPr>
          <w:color w:val="0B1E3A"/>
        </w:rPr>
        <w:t>7. Proposed deployment model</w:t>
      </w:r>
    </w:p>
    <w:p>
      <w:r>
        <w:rPr>
          <w:rFonts w:ascii="Calibri" w:hAnsi="Calibri"/>
          <w:b/>
          <w:color w:val="00A8D0"/>
          <w:sz w:val="22"/>
        </w:rPr>
        <w:t>PROPOSED · NOT YET IMPLEMENTED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Controlled upload: authorized users upload PDF / Excel documents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Versioning &amp; indexing: track versions; re-embed and update the index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Source-grounded Q&amp;A: retrieve evidence, then generate the answer with Qwen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Citations &amp; feedback: show source filenames; collect user ratings</w:t>
      </w:r>
    </w:p>
    <w:p>
      <w:r>
        <w:rPr>
          <w:rFonts w:ascii="Calibri" w:hAnsi="Calibri"/>
          <w:b w:val="0"/>
          <w:sz w:val="22"/>
        </w:rPr>
        <w:t>Future-state interface (concept): Q: Ask a question about your enterprise documents…  A: Grounded answer · Sources: report.pdf, data.xlsx · Was this helpful? Yes / No</w:t>
      </w:r>
    </w:p>
    <w:p>
      <w:r>
        <w:rPr>
          <w:rFonts w:ascii="Calibri" w:hAnsi="Calibri"/>
          <w:b w:val="0"/>
          <w:sz w:val="22"/>
        </w:rPr>
        <w:t>Proposed 12-box enterprise flow: see the markdown/PDF transcription and assets/proposed-deployment-source.png. This flow is proposed, not claimed as implemented.</w:t>
      </w:r>
    </w:p>
    <w:p>
      <w:pPr>
        <w:pStyle w:val="Heading1"/>
      </w:pPr>
      <w:r>
        <w:rPr>
          <w:color w:val="0B1E3A"/>
        </w:rPr>
        <w:t>8. Request for renewed MI300X access</w:t>
      </w:r>
    </w:p>
    <w:p>
      <w:pPr>
        <w:pStyle w:val="Heading2"/>
      </w:pPr>
      <w:r>
        <w:rPr>
          <w:color w:val="0B1E3A"/>
        </w:rPr>
        <w:t>WHAT THE INITIAL ALLOCATION ACHIEVED</w:t>
      </w:r>
    </w:p>
    <w:p>
      <w:r>
        <w:rPr>
          <w:rFonts w:ascii="Calibri" w:hAnsi="Calibri"/>
          <w:b w:val="0"/>
          <w:sz w:val="22"/>
        </w:rPr>
        <w:t>The first MI300X allocation validated the technical feasibility of the full workflow on AMD hardware with PyTorch 2.3 / ROCm 6.2.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Document indexing (PDF + Excel → 17 chunks)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Normalized Top-3 semantic retrieval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Qwen2.5-7B-Instruct inference (bfloat16)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Source-grounded Traditional Chinese answers</w:t>
      </w:r>
    </w:p>
    <w:p>
      <w:pPr>
        <w:pStyle w:val="Heading2"/>
      </w:pPr>
      <w:r>
        <w:rPr>
          <w:color w:val="0B1E3A"/>
        </w:rPr>
        <w:t>PLANNED NEXT STEPS WITH RENEWED ACCESS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Expand official product and service documents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Create a 50–100 question evaluation set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Measure retrieval quality and inference performance reproducibly / systematically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Build the proposed enterprise knowledge interface</w:t>
      </w:r>
    </w:p>
    <w:p>
      <w:pPr>
        <w:pStyle w:val="Heading2"/>
      </w:pPr>
      <w:r>
        <w:rPr>
          <w:color w:val="0B1E3A"/>
        </w:rPr>
        <w:t>EXPECTED DELIVERABLES (comparison source)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Reproducible MI300X benchmark report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Validated source-grounded RAG results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 proposed interface for enterprise knowledge support</w:t>
      </w:r>
    </w:p>
    <w:p>
      <w:pPr>
        <w:pStyle w:val="Heading1"/>
      </w:pPr>
      <w:r>
        <w:rPr>
          <w:color w:val="0B1E3A"/>
        </w:rPr>
        <w:t>Closing</w:t>
      </w:r>
    </w:p>
    <w:p>
      <w:r>
        <w:rPr>
          <w:rFonts w:ascii="Calibri" w:hAnsi="Calibri"/>
          <w:b/>
          <w:sz w:val="22"/>
        </w:rPr>
        <w:t>Thank you to AMD and ITRI for enabling this work.</w:t>
      </w:r>
    </w:p>
    <w:p>
      <w:r>
        <w:rPr>
          <w:rFonts w:ascii="Calibri" w:hAnsi="Calibri"/>
          <w:b w:val="0"/>
          <w:color w:val="666666"/>
          <w:sz w:val="20"/>
        </w:rPr>
        <w:t>Prepared/generated conversion · 2026-09-11 · Document-control attestation only. No official or personal legal signature was applied.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