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sz w:val="36"/>
          <w:szCs w:val="36"/>
        </w:rPr>
        <w:t xml:space="preserve">Quality fixture page 1</w:t>
      </w:r>
    </w:p>
    <w:tbl>
      <w:tblPr>
        <w:tblW w:type="dxa" w:w="40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934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Item 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125.00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Item 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250.00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Item 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375.00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Item 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500.00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>Footer must remain visible</w:t>
      </w:r>
    </w:p>
    <w:p>
      <w:pPr>
        <w:sectPr>
          <w:pgSz w:w="8400" w:h="11900" w:orient="portrait"/>
          <w:pgMar w:top="400" w:right="400" w:bottom="400" w:left="400" w:header="708" w:footer="708" w:gutter="0"/>
          <w:pgNumType/>
          <w:docGrid w:linePitch="360"/>
        </w:sectPr>
      </w:pPr>
    </w:p>
    <w:p>
      <w:pPr>
        <w:spacing w:after="80" w:before="0"/>
      </w:pPr>
      <w:r>
        <w:rPr>
          <w:sz w:val="36"/>
          <w:szCs w:val="36"/>
        </w:rPr>
        <w:t xml:space="preserve">Quality fixture page 2</w:t>
      </w:r>
    </w:p>
    <w:tbl>
      <w:tblPr>
        <w:tblW w:type="dxa" w:w="403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934"/>
      </w:tblGrid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Item 1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125.00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Item 2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250.00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Item 3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375.00</w:t>
            </w:r>
          </w:p>
        </w:tc>
      </w:tr>
      <w:t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Item 4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 w:before="0" w:line="312" w:lineRule="exact"/>
            </w:pPr>
            <w:r>
              <w:rPr>
                <w:sz w:val="24"/>
                <w:szCs w:val="24"/>
              </w:rPr>
              <w:t xml:space="preserve">500.00</w:t>
            </w:r>
          </w:p>
        </w:tc>
      </w:tr>
    </w:tbl>
    <w:p>
      <w:pPr>
        <w:spacing w:after="80" w:before="0"/>
      </w:pPr>
      <w:r>
        <w:rPr>
          <w:sz w:val="20"/>
          <w:szCs w:val="20"/>
        </w:rPr>
        <w:t xml:space="preserve">Footer must remain visible</w:t>
      </w:r>
    </w:p>
    <w:sectPr>
      <w:pgSz w:w="11900" w:h="8400" w:orient="portrait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2026-10-29T13:56:05.219Z</dcterms:created>
  <dcterms:modified xsi:type="dcterms:W3CDTF">2026-10-29T13:56:05.219Z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