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6E56"/>
          <w:sz w:val="32"/>
          <w:szCs w:val="32"/>
        </w:rPr>
        <w:t xml:space="preserve">Pipeline ETL bancaire pour la modélisation du risque de crédit sous IFRS 9</w:t>
      </w:r>
    </w:p>
    <w:p>
      <w:pPr>
        <w:spacing w:after="300"/>
        <w:jc w:val="center"/>
      </w:pPr>
      <w:r>
        <w:rPr>
          <w:i/>
          <w:iCs/>
          <w:color w:val="444441"/>
          <w:sz w:val="22"/>
          <w:szCs w:val="22"/>
        </w:rPr>
        <w:t xml:space="preserve">Note de cadrage — fondement d'un projet de recherche doctoral en ingénierie de la donnée pour le risque de crédit</w:t>
      </w:r>
    </w:p>
    <w:p>
      <w:pPr>
        <w:pBdr>
          <w:bottom w:val="single" w:color="D3D1C7" w:sz="6"/>
        </w:pBdr>
        <w:spacing w:after="400"/>
        <w:jc w:val="center"/>
      </w:pPr>
      <w:r>
        <w:rPr>
          <w:color w:val="444441"/>
          <w:sz w:val="18"/>
          <w:szCs w:val="18"/>
        </w:rPr>
        <w:t xml:space="preserve">Amel Chammem — Data Scientist &amp; IT Project Manager, Groupe Elloumi (COFAT)</w:t>
      </w:r>
    </w:p>
    <w:p>
      <w:pPr>
        <w:pStyle w:val="Heading1"/>
        <w:spacing w:after="120" w:before="260"/>
      </w:pPr>
      <w:r>
        <w:rPr>
          <w:b/>
          <w:bCs/>
          <w:color w:val="0F6E56"/>
        </w:rPr>
        <w:t xml:space="preserve">1. Contexte et motivation</w:t>
      </w:r>
    </w:p>
    <w:p>
      <w:pPr>
        <w:spacing w:after="160" w:line="300"/>
      </w:pPr>
      <w:r>
        <w:t xml:space="preserve">Le calcul de l'Expected Credit Loss (ECL) sous la norme IFRS 9 repose entièrement sur la qualité, la traçabilité et la stabilité des données mobilisées pour estimer la probabilité de défaut (PD), la perte en cas de défaut (LGD) et l'exposition au moment du défaut (EAD). Or la littérature en risque de crédit se concentre presque exclusivement sur la performance des modèles statistiques et d'apprentissage automatique, en traitant l'ingénierie de la donnée en amont comme une étape triviale ou déjà résolue.</w:t>
      </w:r>
    </w:p>
    <w:p>
      <w:pPr>
        <w:spacing w:after="160" w:line="300"/>
      </w:pPr>
      <w:r>
        <w:t xml:space="preserve">Cette note de cadrage propose de renverser cette hiérarchie implicite : faire de l'architecture de données elle-même — sa gouvernance, sa traçabilité et sa robustesse face à la dérive statistique — un objet de recherche à part entière, et non un simple prérequis technique.</w:t>
      </w:r>
    </w:p>
    <w:p>
      <w:pPr>
        <w:pStyle w:val="Heading1"/>
        <w:spacing w:after="120" w:before="260"/>
      </w:pPr>
      <w:r>
        <w:rPr>
          <w:b/>
          <w:bCs/>
          <w:color w:val="0F6E56"/>
        </w:rPr>
        <w:t xml:space="preserve">2. Problématique de recherche</w:t>
      </w:r>
    </w:p>
    <w:p>
      <w:pPr>
        <w:spacing w:after="160" w:line="300"/>
      </w:pPr>
      <w:r>
        <w:t xml:space="preserve">La question directrice proposée est la suivante :</w:t>
      </w:r>
    </w:p>
    <w:p>
      <w:pPr>
        <w:pBdr>
          <w:left w:val="single" w:color="0F6E56" w:sz="18"/>
        </w:pBdr>
        <w:spacing w:after="200"/>
        <w:ind w:left="400"/>
      </w:pPr>
      <w:r>
        <w:rPr>
          <w:i/>
          <w:iCs/>
          <w:sz w:val="22"/>
          <w:szCs w:val="22"/>
        </w:rPr>
        <w:t xml:space="preserve">Dans quelle mesure une architecture de données auditable, historisée et instrumentée pour la détection de dérive peut-elle améliorer la fiabilité, l'explicabilité et la conformité réglementaire des estimations ECL sous IFRS 9 ?</w:t>
      </w:r>
    </w:p>
    <w:p>
      <w:pPr>
        <w:spacing w:after="160" w:line="300"/>
      </w:pPr>
      <w:r>
        <w:t xml:space="preserve">Cette problématique se décline en trois axes complémentaires :</w:t>
      </w:r>
    </w:p>
    <w:p>
      <w:pPr>
        <w:pStyle w:val="ListParagraph"/>
        <w:numPr>
          <w:ilvl w:val="0"/>
          <w:numId w:val="1"/>
        </w:numPr>
        <w:spacing w:after="80" w:line="280"/>
      </w:pPr>
      <w:r>
        <w:t xml:space="preserve">Gouvernance : comment formaliser et automatiser les règles de qualité de données dans un pipeline reproductible, avec quarantaine et audit trail complet ?</w:t>
      </w:r>
    </w:p>
    <w:p>
      <w:pPr>
        <w:pStyle w:val="ListParagraph"/>
        <w:numPr>
          <w:ilvl w:val="0"/>
          <w:numId w:val="1"/>
        </w:numPr>
        <w:spacing w:after="80" w:line="280"/>
      </w:pPr>
      <w:r>
        <w:t xml:space="preserve">Historisation : quel est l'apport d'une modélisation SCD Type 2 rigoureuse sur la stabilité temporelle des estimations de risque, comparé à des approches de type "snapshot" ?</w:t>
      </w:r>
    </w:p>
    <w:p>
      <w:pPr>
        <w:pStyle w:val="ListParagraph"/>
        <w:numPr>
          <w:ilvl w:val="0"/>
          <w:numId w:val="1"/>
        </w:numPr>
        <w:spacing w:after="80" w:line="280"/>
      </w:pPr>
      <w:r>
        <w:t xml:space="preserve">Robustesse : comment détecter et quantifier la dérive des distributions d'entrée (via le Population Stability Index) pour anticiper la dégradation des modèles PD/LGD/EAD avant qu'elle n'affecte le reporting réglementaire ?</w:t>
      </w:r>
    </w:p>
    <w:p>
      <w:pPr>
        <w:pStyle w:val="Heading1"/>
        <w:spacing w:after="120" w:before="260"/>
      </w:pPr>
      <w:r>
        <w:rPr>
          <w:b/>
          <w:bCs/>
          <w:color w:val="0F6E56"/>
        </w:rPr>
        <w:t xml:space="preserve">3. Positionnement scientifique</w:t>
      </w:r>
    </w:p>
    <w:p>
      <w:pPr>
        <w:spacing w:after="160" w:line="300"/>
      </w:pPr>
      <w:r>
        <w:t xml:space="preserve">Ce travail se situe à l'intersection de trois champs généralement traités séparément : l'ingénierie de données (data engineering), la modélisation du risque de crédit (finance quantitative) et l'explicabilité des systèmes de décision automatisés (XAI). Le gap identifié dans la littérature est le suivant : les publications en risque de crédit supposent des données propres et stables ; les publications en ingénierie de données ne traitent que rarement des contraintes réglementaires spécifiques au secteur bancaire (staging IFRS 9, exigences d'audit type SR 11-7 / Bâle).</w:t>
      </w:r>
    </w:p>
    <w:p>
      <w:pPr>
        <w:spacing w:after="160" w:line="300"/>
      </w:pPr>
      <w:r>
        <w:t xml:space="preserve">La contribution attendue est double : (1) une architecture de référence reproductible pour la préparation de données de risque de crédit, documentée et open-source ; (2) une évaluation empirique de l'impact de cette architecture sur la stabilité et l'explicabilité des estimations ECL, en s'appuyant sur les modèles PD/LGD/EAD déjà développés.</w:t>
      </w:r>
    </w:p>
    <w:p>
      <w:pPr>
        <w:pStyle w:val="Heading1"/>
        <w:spacing w:after="120" w:before="260"/>
      </w:pPr>
      <w:r>
        <w:rPr>
          <w:b/>
          <w:bCs/>
          <w:color w:val="0F6E56"/>
        </w:rPr>
        <w:t xml:space="preserve">4. Architecture proposée (synthèse)</w:t>
      </w:r>
    </w:p>
    <w:p>
      <w:pPr>
        <w:spacing w:after="160" w:line="300"/>
      </w:pPr>
      <w:r>
        <w:t xml:space="preserve">Le pipeline suit une architecture medallion à quatre couches, détaillée dans les scripts SQL joints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0F6E56" w:val="clear"/>
          </w:tcPr>
          <w:p>
            <w:r>
              <w:rPr>
                <w:b/>
                <w:bCs/>
                <w:color w:val="FFFFFF"/>
                <w:sz w:val="20"/>
                <w:szCs w:val="20"/>
              </w:rPr>
              <w:t xml:space="preserve">Couche</w:t>
            </w:r>
          </w:p>
        </w:tc>
        <w:tc>
          <w:tcPr>
            <w:tcW w:type="dxa" w:w="7438"/>
            <w:shd w:fill="0F6E56" w:val="clear"/>
          </w:tcPr>
          <w:p>
            <w:r>
              <w:rPr>
                <w:b/>
                <w:bCs/>
                <w:color w:val="FFFFFF"/>
                <w:sz w:val="20"/>
                <w:szCs w:val="20"/>
              </w:rPr>
              <w:t xml:space="preserve">Rôle</w:t>
            </w:r>
          </w:p>
        </w:tc>
      </w:tr>
      <w:tr>
        <w:tc>
          <w:tcPr>
            <w:tcW w:type="dxa" w:w="2200"/>
          </w:tcPr>
          <w:p>
            <w:r>
              <w:rPr>
                <w:b/>
                <w:bCs/>
                <w:sz w:val="20"/>
                <w:szCs w:val="20"/>
              </w:rPr>
              <w:t xml:space="preserve">Staging</w:t>
            </w:r>
          </w:p>
        </w:tc>
        <w:tc>
          <w:tcPr>
            <w:tcW w:type="dxa" w:w="7438"/>
          </w:tcPr>
          <w:p>
            <w:r>
              <w:rPr>
                <w:sz w:val="20"/>
                <w:szCs w:val="20"/>
              </w:rPr>
              <w:t xml:space="preserve">Ingestion brute multi-sources (core banking, bureau de crédit, indicateurs macro), sans transformation, entièrement traçable par batch_id.</w:t>
            </w:r>
          </w:p>
        </w:tc>
      </w:tr>
      <w:tr>
        <w:tc>
          <w:tcPr>
            <w:tcW w:type="dxa" w:w="2200"/>
          </w:tcPr>
          <w:p>
            <w:r>
              <w:rPr>
                <w:b/>
                <w:bCs/>
                <w:sz w:val="20"/>
                <w:szCs w:val="20"/>
              </w:rPr>
              <w:t xml:space="preserve">Cleansed</w:t>
            </w:r>
          </w:p>
        </w:tc>
        <w:tc>
          <w:tcPr>
            <w:tcW w:type="dxa" w:w="7438"/>
          </w:tcPr>
          <w:p>
            <w:r>
              <w:rPr>
                <w:sz w:val="20"/>
                <w:szCs w:val="20"/>
              </w:rPr>
              <w:t xml:space="preserve">Typage strict, validation via des règles de qualité déclaratives, mise en quarantaine documentée des rejets.</w:t>
            </w:r>
          </w:p>
        </w:tc>
      </w:tr>
      <w:tr>
        <w:tc>
          <w:tcPr>
            <w:tcW w:type="dxa" w:w="2200"/>
          </w:tcPr>
          <w:p>
            <w:r>
              <w:rPr>
                <w:b/>
                <w:bCs/>
                <w:sz w:val="20"/>
                <w:szCs w:val="20"/>
              </w:rPr>
              <w:t xml:space="preserve">Curated (star schema)</w:t>
            </w:r>
          </w:p>
        </w:tc>
        <w:tc>
          <w:tcPr>
            <w:tcW w:type="dxa" w:w="7438"/>
          </w:tcPr>
          <w:p>
            <w:r>
              <w:rPr>
                <w:sz w:val="20"/>
                <w:szCs w:val="20"/>
              </w:rPr>
              <w:t xml:space="preserve">Dimensions historisées en SCD Type 2 (client, produit, agence, scénario macro) et faits d'exposition, d'événements de crédit et de notation.</w:t>
            </w:r>
          </w:p>
        </w:tc>
      </w:tr>
      <w:tr>
        <w:tc>
          <w:tcPr>
            <w:tcW w:type="dxa" w:w="2200"/>
          </w:tcPr>
          <w:p>
            <w:r>
              <w:rPr>
                <w:b/>
                <w:bCs/>
                <w:sz w:val="20"/>
                <w:szCs w:val="20"/>
              </w:rPr>
              <w:t xml:space="preserve">Feature Mart</w:t>
            </w:r>
          </w:p>
        </w:tc>
        <w:tc>
          <w:tcPr>
            <w:tcW w:type="dxa" w:w="7438"/>
          </w:tcPr>
          <w:p>
            <w:r>
              <w:rPr>
                <w:sz w:val="20"/>
                <w:szCs w:val="20"/>
              </w:rPr>
              <w:t xml:space="preserve">Indicateurs de risque calculés par fonctions fenêtrées (ratios d'utilisation, tendances de retard de paiement, volatilité), prêts pour le moteur PD/LGD/EAD.</w:t>
            </w:r>
          </w:p>
        </w:tc>
      </w:tr>
    </w:tbl>
    <w:p>
      <w:pPr>
        <w:spacing w:after="160" w:before="200"/>
      </w:pPr>
    </w:p>
    <w:p>
      <w:pPr>
        <w:spacing w:after="160" w:line="300"/>
      </w:pPr>
      <w:r>
        <w:t xml:space="preserve">Deux composantes transversales soutiennent directement la problématique de recherche : un module de journalisation complète des exécutions (etl.etl_run_log, etl.etl_step_log) garantissant l'auditabilité, et un module de détection de dérive statistique (dq.dq_drift_metrics) calculant le Population Stability Index entre deux fenêtres temporelles. Le schéma de données détaillé (diagramme entités-relations) et l'ensemble des scripts DDL et des procédures d'orchestration sont fournis en annexe technique.</w:t>
      </w:r>
    </w:p>
    <w:p>
      <w:pPr>
        <w:pStyle w:val="Heading1"/>
        <w:spacing w:after="120" w:before="260"/>
      </w:pPr>
      <w:r>
        <w:rPr>
          <w:b/>
          <w:bCs/>
          <w:color w:val="0F6E56"/>
        </w:rPr>
        <w:t xml:space="preserve">5. Alignement avec les travaux antérieurs</w:t>
      </w:r>
    </w:p>
    <w:p>
      <w:pPr>
        <w:spacing w:after="160" w:line="300"/>
      </w:pPr>
      <w:r>
        <w:t xml:space="preserve">Ce projet capitalise directement sur les travaux déjà menés : le pipeline d'ensemble ML pour le calcul PD/LGD/EAD avec pondération de scénarios macroéconomiques, ainsi que l'application Flask de compétition de modèles de risque de crédit. L'ETL proposé ici en constitue la fondation amont manquante, transformant des prototypes de modélisation isolés en un système de bout en bout scientifiquement défendable.</w:t>
      </w:r>
    </w:p>
    <w:p>
      <w:pPr>
        <w:pStyle w:val="Heading1"/>
        <w:spacing w:after="120" w:before="260"/>
      </w:pPr>
      <w:r>
        <w:rPr>
          <w:b/>
          <w:bCs/>
          <w:color w:val="0F6E56"/>
        </w:rPr>
        <w:t xml:space="preserve">6. Prochaines étapes suggérées</w:t>
      </w:r>
    </w:p>
    <w:p>
      <w:pPr>
        <w:pStyle w:val="ListParagraph"/>
        <w:numPr>
          <w:ilvl w:val="0"/>
          <w:numId w:val="1"/>
        </w:numPr>
        <w:spacing w:after="80" w:line="280"/>
      </w:pPr>
      <w:r>
        <w:t xml:space="preserve">Déployer le pipeline sur un jeu de données synthétique ou anonymisé représentatif d'un portefeuille de crédit bancaire.</w:t>
      </w:r>
    </w:p>
    <w:p>
      <w:pPr>
        <w:pStyle w:val="ListParagraph"/>
        <w:numPr>
          <w:ilvl w:val="0"/>
          <w:numId w:val="1"/>
        </w:numPr>
        <w:spacing w:after="80" w:line="280"/>
      </w:pPr>
      <w:r>
        <w:t xml:space="preserve">Formaliser la revue de littérature sur les trois axes (gouvernance, historisation, dérive) pour asseoir la problématique.</w:t>
      </w:r>
    </w:p>
    <w:p>
      <w:pPr>
        <w:pStyle w:val="ListParagraph"/>
        <w:numPr>
          <w:ilvl w:val="0"/>
          <w:numId w:val="1"/>
        </w:numPr>
        <w:spacing w:after="80" w:line="280"/>
      </w:pPr>
      <w:r>
        <w:t xml:space="preserve">Identifier un laboratoire ou directeur de thèse dont les travaux couvrent la finance quantitative appliquée ou le data engineering pour la conformité réglementaire.</w:t>
      </w:r>
    </w:p>
    <w:p>
      <w:pPr>
        <w:pStyle w:val="ListParagraph"/>
        <w:numPr>
          <w:ilvl w:val="0"/>
          <w:numId w:val="1"/>
        </w:numPr>
        <w:spacing w:after="80" w:line="280"/>
      </w:pPr>
      <w:r>
        <w:t xml:space="preserve">Préparer une première publication ou communication (poster, working paper) présentant l'architecture et une première mesure d'impact du monitoring de dérive sur la stabilité des estimations ECL.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Note de cadrage — Projet doctoral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2026-08-24T10:02:04.370Z</dcterms:created>
  <dcterms:modified xsi:type="dcterms:W3CDTF">2026-08-24T10:02:04.384Z</dcterms:modified>
</cp:coreProperties>
</file>

<file path=docProps/custom.xml><?xml version="1.0" encoding="utf-8"?>
<Properties xmlns="http://schemas.openxmlformats.org/officeDocument/2006/custom-properties" xmlns:vt="http://schemas.openxmlformats.org/officeDocument/2006/docPropsVTypes"/>
</file>