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XSpec="right" w:tblpY="-972"/>
        <w:tblW w:w="5481" w:type="pct"/>
        <w:shd w:val="clear" w:color="auto" w:fill="D1D1D1" w:themeFill="background2" w:themeFillShade="E6"/>
        <w:tblCellMar>
          <w:top w:w="115" w:type="dxa"/>
          <w:left w:w="115" w:type="dxa"/>
          <w:bottom w:w="115" w:type="dxa"/>
          <w:right w:w="115" w:type="dxa"/>
        </w:tblCellMar>
        <w:tblLook w:val="04A0" w:firstRow="1" w:lastRow="0" w:firstColumn="1" w:lastColumn="0" w:noHBand="0" w:noVBand="1"/>
      </w:tblPr>
      <w:tblGrid>
        <w:gridCol w:w="3073"/>
        <w:gridCol w:w="6821"/>
      </w:tblGrid>
      <w:tr w:rsidR="0010106E" w:rsidRPr="00BE3F3D" w14:paraId="3DCB07A9" w14:textId="77777777" w:rsidTr="008C65EB">
        <w:tc>
          <w:tcPr>
            <w:tcW w:w="1553" w:type="pct"/>
            <w:shd w:val="clear" w:color="auto" w:fill="D1D1D1" w:themeFill="background2" w:themeFillShade="E6"/>
            <w:vAlign w:val="center"/>
          </w:tcPr>
          <w:p w14:paraId="06FF3B6E" w14:textId="77777777" w:rsidR="0010106E" w:rsidRPr="00BE3F3D" w:rsidRDefault="0010106E" w:rsidP="008C65EB">
            <w:pPr>
              <w:pStyle w:val="Header"/>
              <w:spacing w:line="360" w:lineRule="auto"/>
              <w:jc w:val="both"/>
              <w:rPr>
                <w:rFonts w:ascii="Times New Roman" w:hAnsi="Times New Roman" w:cs="Times New Roman"/>
                <w:b/>
                <w:bCs/>
                <w:caps/>
                <w:color w:val="FFFFFF" w:themeColor="background1"/>
                <w:sz w:val="24"/>
                <w:szCs w:val="24"/>
              </w:rPr>
            </w:pPr>
            <w:r w:rsidRPr="00BE3F3D">
              <w:rPr>
                <w:rFonts w:ascii="Times New Roman" w:hAnsi="Times New Roman" w:cs="Times New Roman"/>
                <w:b/>
                <w:bCs/>
                <w:caps/>
                <w:sz w:val="24"/>
                <w:szCs w:val="24"/>
              </w:rPr>
              <w:t>222168878</w:t>
            </w:r>
          </w:p>
        </w:tc>
        <w:tc>
          <w:tcPr>
            <w:tcW w:w="3447" w:type="pct"/>
            <w:shd w:val="clear" w:color="auto" w:fill="D1D1D1" w:themeFill="background2" w:themeFillShade="E6"/>
            <w:vAlign w:val="center"/>
          </w:tcPr>
          <w:p w14:paraId="0897ACC0" w14:textId="77777777" w:rsidR="0010106E" w:rsidRPr="00BE3F3D" w:rsidRDefault="0010106E" w:rsidP="008C65EB">
            <w:pPr>
              <w:pStyle w:val="Header"/>
              <w:spacing w:line="360" w:lineRule="auto"/>
              <w:jc w:val="right"/>
              <w:rPr>
                <w:rFonts w:ascii="Times New Roman" w:hAnsi="Times New Roman" w:cs="Times New Roman"/>
                <w:b/>
                <w:bCs/>
                <w:caps/>
                <w:color w:val="FFFFFF" w:themeColor="background1"/>
                <w:sz w:val="24"/>
                <w:szCs w:val="24"/>
              </w:rPr>
            </w:pPr>
            <w:r w:rsidRPr="00BE3F3D">
              <w:rPr>
                <w:rFonts w:ascii="Times New Roman" w:hAnsi="Times New Roman" w:cs="Times New Roman"/>
                <w:b/>
                <w:bCs/>
                <w:caps/>
                <w:sz w:val="24"/>
                <w:szCs w:val="24"/>
              </w:rPr>
              <w:t>Amandeep Kaur SANDHU</w:t>
            </w:r>
          </w:p>
        </w:tc>
      </w:tr>
    </w:tbl>
    <w:p w14:paraId="7279B17F" w14:textId="02EABE45" w:rsidR="00BE3F3D" w:rsidRDefault="0010106E" w:rsidP="00BE3F3D">
      <w:pPr>
        <w:pStyle w:val="Header"/>
        <w:pBdr>
          <w:bottom w:val="single" w:sz="6" w:space="1" w:color="auto"/>
        </w:pBdr>
        <w:spacing w:line="360" w:lineRule="auto"/>
        <w:jc w:val="both"/>
        <w:rPr>
          <w:rFonts w:ascii="Times New Roman" w:hAnsi="Times New Roman" w:cs="Times New Roman"/>
          <w:sz w:val="28"/>
          <w:szCs w:val="28"/>
          <w:lang w:val="en-AU"/>
        </w:rPr>
      </w:pPr>
      <w:r w:rsidRPr="00BE3F3D">
        <w:rPr>
          <w:rFonts w:ascii="Times New Roman" w:hAnsi="Times New Roman" w:cs="Times New Roman"/>
          <w:b/>
          <w:bCs/>
          <w:noProof/>
          <w:sz w:val="28"/>
          <w:szCs w:val="28"/>
        </w:rPr>
        <w:drawing>
          <wp:anchor distT="0" distB="0" distL="114300" distR="114300" simplePos="0" relativeHeight="251659264" behindDoc="0" locked="0" layoutInCell="1" allowOverlap="1" wp14:anchorId="558BEE84" wp14:editId="744A2367">
            <wp:simplePos x="0" y="0"/>
            <wp:positionH relativeFrom="rightMargin">
              <wp:align>left</wp:align>
            </wp:positionH>
            <wp:positionV relativeFrom="paragraph">
              <wp:posOffset>-739140</wp:posOffset>
            </wp:positionV>
            <wp:extent cx="807720" cy="656487"/>
            <wp:effectExtent l="0" t="0" r="0" b="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07720" cy="6564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3F3D">
        <w:rPr>
          <w:rFonts w:ascii="Times New Roman" w:hAnsi="Times New Roman" w:cs="Times New Roman"/>
          <w:b/>
          <w:bCs/>
          <w:sz w:val="28"/>
          <w:szCs w:val="28"/>
        </w:rPr>
        <w:t>UNIT:</w:t>
      </w:r>
      <w:r w:rsidRPr="00BE3F3D">
        <w:rPr>
          <w:rFonts w:ascii="Times New Roman" w:hAnsi="Times New Roman" w:cs="Times New Roman"/>
          <w:sz w:val="28"/>
          <w:szCs w:val="28"/>
        </w:rPr>
        <w:t xml:space="preserve"> SIT782- </w:t>
      </w:r>
      <w:r w:rsidRPr="00BE3F3D">
        <w:rPr>
          <w:rFonts w:ascii="Times New Roman" w:hAnsi="Times New Roman" w:cs="Times New Roman"/>
          <w:sz w:val="28"/>
          <w:szCs w:val="28"/>
          <w:lang w:val="en-AU"/>
        </w:rPr>
        <w:t>Capstone Team Project (B)</w:t>
      </w:r>
    </w:p>
    <w:p w14:paraId="6D717A3B" w14:textId="77777777" w:rsidR="0010106E" w:rsidRPr="00BE3F3D" w:rsidRDefault="0010106E" w:rsidP="005A4C87">
      <w:pPr>
        <w:jc w:val="both"/>
        <w:rPr>
          <w:rFonts w:ascii="Times New Roman" w:hAnsi="Times New Roman" w:cs="Times New Roman"/>
          <w:b/>
          <w:bCs/>
          <w:sz w:val="28"/>
          <w:szCs w:val="28"/>
        </w:rPr>
      </w:pPr>
    </w:p>
    <w:p w14:paraId="4A6C146C" w14:textId="560DE0AF" w:rsidR="00AA669C" w:rsidRPr="00BE3F3D" w:rsidRDefault="00AA669C" w:rsidP="00BE3F3D">
      <w:pPr>
        <w:shd w:val="clear" w:color="auto" w:fill="A5C9EB" w:themeFill="text2" w:themeFillTint="40"/>
        <w:jc w:val="both"/>
        <w:rPr>
          <w:rFonts w:ascii="Times New Roman" w:hAnsi="Times New Roman" w:cs="Times New Roman"/>
          <w:b/>
          <w:bCs/>
          <w:sz w:val="28"/>
          <w:szCs w:val="28"/>
        </w:rPr>
      </w:pPr>
      <w:r w:rsidRPr="00BE3F3D">
        <w:rPr>
          <w:rFonts w:ascii="Times New Roman" w:hAnsi="Times New Roman" w:cs="Times New Roman"/>
          <w:b/>
          <w:bCs/>
          <w:sz w:val="28"/>
          <w:szCs w:val="28"/>
        </w:rPr>
        <w:t>DolFin UI/UX Enhancement Market Research</w:t>
      </w:r>
    </w:p>
    <w:p w14:paraId="5C88F9C1" w14:textId="77777777" w:rsidR="00AA669C" w:rsidRPr="00BE3F3D" w:rsidRDefault="00AA669C" w:rsidP="005A4C87">
      <w:pPr>
        <w:jc w:val="both"/>
        <w:rPr>
          <w:rFonts w:ascii="Times New Roman" w:hAnsi="Times New Roman" w:cs="Times New Roman"/>
          <w:b/>
          <w:bCs/>
        </w:rPr>
      </w:pPr>
      <w:r w:rsidRPr="00BE3F3D">
        <w:rPr>
          <w:rFonts w:ascii="Times New Roman" w:hAnsi="Times New Roman" w:cs="Times New Roman"/>
          <w:b/>
          <w:bCs/>
        </w:rPr>
        <w:t>Introduction</w:t>
      </w:r>
    </w:p>
    <w:p w14:paraId="0DE24B97" w14:textId="1DF4CD1A" w:rsidR="00AA669C" w:rsidRPr="00BE3F3D" w:rsidRDefault="00AA669C" w:rsidP="005A4C87">
      <w:pPr>
        <w:jc w:val="both"/>
        <w:rPr>
          <w:rFonts w:ascii="Times New Roman" w:hAnsi="Times New Roman" w:cs="Times New Roman"/>
        </w:rPr>
      </w:pPr>
      <w:r w:rsidRPr="00BE3F3D">
        <w:rPr>
          <w:rFonts w:ascii="Times New Roman" w:hAnsi="Times New Roman" w:cs="Times New Roman"/>
        </w:rPr>
        <w:t>The digital financial landscape is rapidly evolving, with user interface (UI) and user experience (UX) at the forefront of competitive differentiation. In this context, DolFin seeks to enhance its platform to better meet user needs, align with industry standards, and stand out among both banking and non-banking financial applications. This document outlines our market research findings, focusing on UI/UX best practices and features that contribute to a superior user experience in financial services.</w:t>
      </w:r>
      <w:r w:rsidR="00DA4BB6" w:rsidRPr="00BE3F3D">
        <w:rPr>
          <w:rFonts w:ascii="Times New Roman" w:hAnsi="Times New Roman" w:cs="Times New Roman"/>
        </w:rPr>
        <w:t xml:space="preserve"> </w:t>
      </w:r>
    </w:p>
    <w:p w14:paraId="1F462381" w14:textId="2642C768" w:rsidR="00DA4BB6" w:rsidRPr="00BE3F3D" w:rsidRDefault="00DA4BB6" w:rsidP="005A4C87">
      <w:pPr>
        <w:jc w:val="both"/>
        <w:rPr>
          <w:rFonts w:ascii="Times New Roman" w:hAnsi="Times New Roman" w:cs="Times New Roman"/>
        </w:rPr>
      </w:pPr>
      <w:r w:rsidRPr="00BE3F3D">
        <w:rPr>
          <w:rFonts w:ascii="Times New Roman" w:hAnsi="Times New Roman" w:cs="Times New Roman"/>
        </w:rPr>
        <w:t xml:space="preserve">The research </w:t>
      </w:r>
      <w:r w:rsidR="000A14B9" w:rsidRPr="00BE3F3D">
        <w:rPr>
          <w:rFonts w:ascii="Times New Roman" w:hAnsi="Times New Roman" w:cs="Times New Roman"/>
        </w:rPr>
        <w:t xml:space="preserve">focus on </w:t>
      </w:r>
      <w:r w:rsidRPr="00BE3F3D">
        <w:rPr>
          <w:rFonts w:ascii="Times New Roman" w:hAnsi="Times New Roman" w:cs="Times New Roman"/>
        </w:rPr>
        <w:t>banking applications.</w:t>
      </w:r>
    </w:p>
    <w:p w14:paraId="58B60ABE" w14:textId="5F3D4818" w:rsidR="00A72CD3" w:rsidRPr="00BE3F3D" w:rsidRDefault="00A72CD3" w:rsidP="00466D8B">
      <w:pPr>
        <w:pStyle w:val="ListParagraph"/>
        <w:numPr>
          <w:ilvl w:val="0"/>
          <w:numId w:val="2"/>
        </w:numPr>
        <w:jc w:val="both"/>
        <w:rPr>
          <w:rFonts w:ascii="Times New Roman" w:hAnsi="Times New Roman" w:cs="Times New Roman"/>
          <w:b/>
          <w:bCs/>
        </w:rPr>
      </w:pPr>
      <w:r w:rsidRPr="00BE3F3D">
        <w:rPr>
          <w:rFonts w:ascii="Times New Roman" w:hAnsi="Times New Roman" w:cs="Times New Roman"/>
          <w:b/>
          <w:bCs/>
        </w:rPr>
        <w:t>General Comparison of Bank Apps</w:t>
      </w:r>
    </w:p>
    <w:p w14:paraId="5AC70BA4" w14:textId="77777777" w:rsidR="00A72CD3" w:rsidRPr="00BE3F3D" w:rsidRDefault="00A72CD3" w:rsidP="005A4C87">
      <w:pPr>
        <w:jc w:val="both"/>
        <w:rPr>
          <w:rFonts w:ascii="Times New Roman" w:hAnsi="Times New Roman" w:cs="Times New Roman"/>
        </w:rPr>
      </w:pPr>
      <w:r w:rsidRPr="00BE3F3D">
        <w:rPr>
          <w:rFonts w:ascii="Times New Roman" w:hAnsi="Times New Roman" w:cs="Times New Roman"/>
        </w:rPr>
        <w:t>This section presents a broad overview of the digital banking tools, fintech innovations, financial education, and security features offered by selected banks.</w:t>
      </w:r>
    </w:p>
    <w:p w14:paraId="6F7FBE22" w14:textId="4906742E" w:rsidR="00133838" w:rsidRPr="00BE3F3D" w:rsidRDefault="00A72CD3" w:rsidP="005A4C87">
      <w:pPr>
        <w:jc w:val="both"/>
        <w:rPr>
          <w:rFonts w:ascii="Times New Roman" w:hAnsi="Times New Roman" w:cs="Times New Roman"/>
        </w:rPr>
      </w:pPr>
      <w:r w:rsidRPr="00BE3F3D">
        <w:rPr>
          <w:rFonts w:ascii="Times New Roman" w:hAnsi="Times New Roman" w:cs="Times New Roman"/>
        </w:rPr>
        <w:t>In the effort to enhance DolFin's UI/UX and align it with the industry's best practices, 5 banks are considered for their leadership in fintech innovation, comprehensive digital banking tools, commitment to financial education, and advanced security features.</w:t>
      </w:r>
      <w:r w:rsidR="00133838" w:rsidRPr="00BE3F3D">
        <w:rPr>
          <w:rFonts w:ascii="Times New Roman" w:eastAsia="Times New Roman" w:hAnsi="Times New Roman" w:cs="Times New Roman"/>
          <w:color w:val="0D0D0D"/>
          <w:kern w:val="0"/>
          <w:lang w:eastAsia="en-AU"/>
          <w14:ligatures w14:val="none"/>
        </w:rPr>
        <w:t xml:space="preserve"> </w:t>
      </w:r>
      <w:r w:rsidR="00133838" w:rsidRPr="00BE3F3D">
        <w:rPr>
          <w:rFonts w:ascii="Times New Roman" w:hAnsi="Times New Roman" w:cs="Times New Roman"/>
        </w:rPr>
        <w:t>The selection includes:</w:t>
      </w:r>
    </w:p>
    <w:p w14:paraId="3AC05763" w14:textId="69DFAD90" w:rsidR="00133838" w:rsidRPr="00BE3F3D" w:rsidRDefault="00133838" w:rsidP="00836F77">
      <w:pPr>
        <w:numPr>
          <w:ilvl w:val="0"/>
          <w:numId w:val="1"/>
        </w:numPr>
        <w:jc w:val="both"/>
        <w:rPr>
          <w:rFonts w:ascii="Times New Roman" w:hAnsi="Times New Roman" w:cs="Times New Roman"/>
        </w:rPr>
      </w:pPr>
      <w:r w:rsidRPr="00BE3F3D">
        <w:rPr>
          <w:rFonts w:ascii="Times New Roman" w:hAnsi="Times New Roman" w:cs="Times New Roman"/>
          <w:b/>
          <w:bCs/>
        </w:rPr>
        <w:t>Commonwealth Bank of Australia (CBA):</w:t>
      </w:r>
      <w:r w:rsidRPr="00BE3F3D">
        <w:rPr>
          <w:rFonts w:ascii="Times New Roman" w:hAnsi="Times New Roman" w:cs="Times New Roman"/>
        </w:rPr>
        <w:t xml:space="preserve"> Chosen for its pioneering role in digital banking innovation in Australia, offering extensive user-friendly digital tools and leading fintech integration.</w:t>
      </w:r>
    </w:p>
    <w:p w14:paraId="7FE55092" w14:textId="77777777" w:rsidR="00133838" w:rsidRPr="00BE3F3D" w:rsidRDefault="00133838" w:rsidP="005A4C87">
      <w:pPr>
        <w:numPr>
          <w:ilvl w:val="0"/>
          <w:numId w:val="1"/>
        </w:numPr>
        <w:jc w:val="both"/>
        <w:rPr>
          <w:rFonts w:ascii="Times New Roman" w:hAnsi="Times New Roman" w:cs="Times New Roman"/>
        </w:rPr>
      </w:pPr>
      <w:r w:rsidRPr="00BE3F3D">
        <w:rPr>
          <w:rFonts w:ascii="Times New Roman" w:hAnsi="Times New Roman" w:cs="Times New Roman"/>
          <w:b/>
          <w:bCs/>
        </w:rPr>
        <w:t>National Australia Bank (NAB):</w:t>
      </w:r>
      <w:r w:rsidRPr="00BE3F3D">
        <w:rPr>
          <w:rFonts w:ascii="Times New Roman" w:hAnsi="Times New Roman" w:cs="Times New Roman"/>
        </w:rPr>
        <w:t xml:space="preserve"> Selected for its focus on creating customer-centric digital services and its investment in financial education, showcasing a comprehensive approach to financial wellbeing.</w:t>
      </w:r>
    </w:p>
    <w:p w14:paraId="1B50E88D" w14:textId="77777777" w:rsidR="00133838" w:rsidRPr="00BE3F3D" w:rsidRDefault="00133838" w:rsidP="005A4C87">
      <w:pPr>
        <w:numPr>
          <w:ilvl w:val="0"/>
          <w:numId w:val="1"/>
        </w:numPr>
        <w:jc w:val="both"/>
        <w:rPr>
          <w:rFonts w:ascii="Times New Roman" w:hAnsi="Times New Roman" w:cs="Times New Roman"/>
        </w:rPr>
      </w:pPr>
      <w:r w:rsidRPr="00BE3F3D">
        <w:rPr>
          <w:rFonts w:ascii="Times New Roman" w:hAnsi="Times New Roman" w:cs="Times New Roman"/>
          <w:b/>
          <w:bCs/>
        </w:rPr>
        <w:t>Australia and New Zealand Banking Group (ANZ):</w:t>
      </w:r>
      <w:r w:rsidRPr="00BE3F3D">
        <w:rPr>
          <w:rFonts w:ascii="Times New Roman" w:hAnsi="Times New Roman" w:cs="Times New Roman"/>
        </w:rPr>
        <w:t xml:space="preserve"> Noted for its robust digital banking solutions and proactive adoption of fintech innovations, ANZ illustrates how traditional banks can adapt to new consumer expectations.</w:t>
      </w:r>
    </w:p>
    <w:p w14:paraId="2E136437" w14:textId="5CC668C1" w:rsidR="000C128D" w:rsidRPr="00BE3F3D" w:rsidRDefault="000C128D" w:rsidP="000C128D">
      <w:pPr>
        <w:ind w:left="360"/>
        <w:jc w:val="both"/>
        <w:rPr>
          <w:rFonts w:ascii="Times New Roman" w:hAnsi="Times New Roman" w:cs="Times New Roman"/>
        </w:rPr>
      </w:pPr>
      <w:r w:rsidRPr="00BE3F3D">
        <w:rPr>
          <w:rFonts w:ascii="Times New Roman" w:hAnsi="Times New Roman" w:cs="Times New Roman"/>
        </w:rPr>
        <w:t>Table 1. summarize the general features of banking applications for financial well-being.</w:t>
      </w:r>
    </w:p>
    <w:tbl>
      <w:tblPr>
        <w:tblStyle w:val="ListTable4-Accent1"/>
        <w:tblW w:w="0" w:type="auto"/>
        <w:tblLook w:val="04A0" w:firstRow="1" w:lastRow="0" w:firstColumn="1" w:lastColumn="0" w:noHBand="0" w:noVBand="1"/>
      </w:tblPr>
      <w:tblGrid>
        <w:gridCol w:w="1988"/>
        <w:gridCol w:w="1965"/>
        <w:gridCol w:w="1807"/>
        <w:gridCol w:w="1646"/>
        <w:gridCol w:w="1610"/>
      </w:tblGrid>
      <w:tr w:rsidR="00BE3F3D" w:rsidRPr="00BE3F3D" w14:paraId="47B3039D" w14:textId="77777777" w:rsidTr="00726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4" w:type="dxa"/>
          </w:tcPr>
          <w:p w14:paraId="20457D50" w14:textId="1A37E00D" w:rsidR="00B50F02" w:rsidRPr="00BE3F3D" w:rsidRDefault="00B50F02" w:rsidP="005A4C87">
            <w:pPr>
              <w:jc w:val="both"/>
              <w:rPr>
                <w:rFonts w:ascii="Times New Roman" w:hAnsi="Times New Roman" w:cs="Times New Roman"/>
              </w:rPr>
            </w:pPr>
            <w:r w:rsidRPr="00BE3F3D">
              <w:rPr>
                <w:rFonts w:ascii="Times New Roman" w:eastAsia="Times New Roman" w:hAnsi="Times New Roman" w:cs="Times New Roman"/>
                <w:kern w:val="0"/>
                <w:lang w:eastAsia="en-AU"/>
                <w14:ligatures w14:val="none"/>
              </w:rPr>
              <w:t>Bank</w:t>
            </w:r>
          </w:p>
        </w:tc>
        <w:tc>
          <w:tcPr>
            <w:tcW w:w="1965" w:type="dxa"/>
          </w:tcPr>
          <w:p w14:paraId="24E517F7" w14:textId="6C9B0034" w:rsidR="00B50F02" w:rsidRPr="00BE3F3D" w:rsidRDefault="00B50F02" w:rsidP="005A4C8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3F3D">
              <w:rPr>
                <w:rFonts w:ascii="Times New Roman" w:eastAsia="Times New Roman" w:hAnsi="Times New Roman" w:cs="Times New Roman"/>
                <w:kern w:val="0"/>
                <w:lang w:eastAsia="en-AU"/>
                <w14:ligatures w14:val="none"/>
              </w:rPr>
              <w:t>Digital Banking Tools</w:t>
            </w:r>
          </w:p>
        </w:tc>
        <w:tc>
          <w:tcPr>
            <w:tcW w:w="1839" w:type="dxa"/>
          </w:tcPr>
          <w:p w14:paraId="03D53786" w14:textId="1163AE8C" w:rsidR="00B50F02" w:rsidRPr="00BE3F3D" w:rsidRDefault="00B50F02" w:rsidP="005A4C8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3F3D">
              <w:rPr>
                <w:rFonts w:ascii="Times New Roman" w:eastAsia="Times New Roman" w:hAnsi="Times New Roman" w:cs="Times New Roman"/>
                <w:kern w:val="0"/>
                <w:lang w:eastAsia="en-AU"/>
                <w14:ligatures w14:val="none"/>
              </w:rPr>
              <w:t>Fintech Innovation</w:t>
            </w:r>
          </w:p>
        </w:tc>
        <w:tc>
          <w:tcPr>
            <w:tcW w:w="1715" w:type="dxa"/>
          </w:tcPr>
          <w:p w14:paraId="25BFCC86" w14:textId="382BFAD0" w:rsidR="00B50F02" w:rsidRPr="00BE3F3D" w:rsidRDefault="00B50F02" w:rsidP="005A4C8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3F3D">
              <w:rPr>
                <w:rFonts w:ascii="Times New Roman" w:eastAsia="Times New Roman" w:hAnsi="Times New Roman" w:cs="Times New Roman"/>
                <w:kern w:val="0"/>
                <w:lang w:eastAsia="en-AU"/>
                <w14:ligatures w14:val="none"/>
              </w:rPr>
              <w:t>Financial Education</w:t>
            </w:r>
          </w:p>
        </w:tc>
        <w:tc>
          <w:tcPr>
            <w:tcW w:w="1703" w:type="dxa"/>
          </w:tcPr>
          <w:p w14:paraId="4A15F709" w14:textId="0A41E21F" w:rsidR="00B50F02" w:rsidRPr="00BE3F3D" w:rsidRDefault="00B50F02" w:rsidP="005A4C8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3F3D">
              <w:rPr>
                <w:rFonts w:ascii="Times New Roman" w:eastAsia="Times New Roman" w:hAnsi="Times New Roman" w:cs="Times New Roman"/>
                <w:kern w:val="0"/>
                <w:lang w:eastAsia="en-AU"/>
                <w14:ligatures w14:val="none"/>
              </w:rPr>
              <w:t>Security Features</w:t>
            </w:r>
          </w:p>
        </w:tc>
      </w:tr>
      <w:tr w:rsidR="00BE3F3D" w:rsidRPr="00BE3F3D" w14:paraId="38AF470C" w14:textId="77777777" w:rsidTr="00726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8CBBD0" w14:textId="318DD8DB" w:rsidR="00B50F02" w:rsidRPr="00BE3F3D" w:rsidRDefault="00B50F02" w:rsidP="005A4C87">
            <w:pPr>
              <w:jc w:val="both"/>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Commonwealth Bank (CBA)</w:t>
            </w:r>
            <w:r w:rsidR="005A4C87" w:rsidRPr="00BE3F3D">
              <w:rPr>
                <w:rFonts w:ascii="Times New Roman" w:eastAsia="Times New Roman" w:hAnsi="Times New Roman" w:cs="Times New Roman"/>
                <w:color w:val="0D0D0D"/>
                <w:kern w:val="0"/>
                <w:lang w:eastAsia="en-AU"/>
                <w14:ligatures w14:val="none"/>
              </w:rPr>
              <w:t xml:space="preserve"> [1]</w:t>
            </w:r>
          </w:p>
        </w:tc>
        <w:tc>
          <w:tcPr>
            <w:tcW w:w="0" w:type="auto"/>
            <w:hideMark/>
          </w:tcPr>
          <w:p w14:paraId="2C0DE63E" w14:textId="77777777" w:rsidR="00B50F02" w:rsidRPr="00BE3F3D" w:rsidRDefault="00B50F02"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Extensive suite of tools for budgeting, savings, and spending tracking.</w:t>
            </w:r>
          </w:p>
        </w:tc>
        <w:tc>
          <w:tcPr>
            <w:tcW w:w="0" w:type="auto"/>
            <w:hideMark/>
          </w:tcPr>
          <w:p w14:paraId="2C469D89" w14:textId="77777777" w:rsidR="00B50F02" w:rsidRPr="00BE3F3D" w:rsidRDefault="00B50F02"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Leaders in adopting fintech innovations like blockchain and AI.</w:t>
            </w:r>
          </w:p>
        </w:tc>
        <w:tc>
          <w:tcPr>
            <w:tcW w:w="0" w:type="auto"/>
            <w:hideMark/>
          </w:tcPr>
          <w:p w14:paraId="2C164F69" w14:textId="77777777" w:rsidR="00B50F02" w:rsidRPr="00BE3F3D" w:rsidRDefault="00B50F02"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Wide range of educational resources available through the CommBank app and website.</w:t>
            </w:r>
          </w:p>
        </w:tc>
        <w:tc>
          <w:tcPr>
            <w:tcW w:w="0" w:type="auto"/>
            <w:hideMark/>
          </w:tcPr>
          <w:p w14:paraId="6EF14349" w14:textId="77777777" w:rsidR="00B50F02" w:rsidRPr="00BE3F3D" w:rsidRDefault="00B50F02"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Advanced security measures, including biometric login and real-time fraud monitoring.</w:t>
            </w:r>
          </w:p>
        </w:tc>
      </w:tr>
      <w:tr w:rsidR="005A4C87" w:rsidRPr="00BE3F3D" w14:paraId="04C28EEC" w14:textId="77777777" w:rsidTr="007267A6">
        <w:tc>
          <w:tcPr>
            <w:cnfStyle w:val="001000000000" w:firstRow="0" w:lastRow="0" w:firstColumn="1" w:lastColumn="0" w:oddVBand="0" w:evenVBand="0" w:oddHBand="0" w:evenHBand="0" w:firstRowFirstColumn="0" w:firstRowLastColumn="0" w:lastRowFirstColumn="0" w:lastRowLastColumn="0"/>
            <w:tcW w:w="0" w:type="auto"/>
            <w:hideMark/>
          </w:tcPr>
          <w:p w14:paraId="1CFAC486" w14:textId="24CA78AE" w:rsidR="00B50F02" w:rsidRPr="00BE3F3D" w:rsidRDefault="00B50F02" w:rsidP="005A4C87">
            <w:pPr>
              <w:jc w:val="both"/>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lastRenderedPageBreak/>
              <w:t>National Australia Bank (NAB)</w:t>
            </w:r>
            <w:r w:rsidR="005A4C87" w:rsidRPr="00BE3F3D">
              <w:rPr>
                <w:rFonts w:ascii="Times New Roman" w:eastAsia="Times New Roman" w:hAnsi="Times New Roman" w:cs="Times New Roman"/>
                <w:color w:val="0D0D0D"/>
                <w:kern w:val="0"/>
                <w:lang w:eastAsia="en-AU"/>
                <w14:ligatures w14:val="none"/>
              </w:rPr>
              <w:t xml:space="preserve"> [</w:t>
            </w:r>
            <w:r w:rsidR="00BE3F3D">
              <w:rPr>
                <w:rFonts w:ascii="Times New Roman" w:eastAsia="Times New Roman" w:hAnsi="Times New Roman" w:cs="Times New Roman"/>
                <w:color w:val="0D0D0D"/>
                <w:kern w:val="0"/>
                <w:lang w:eastAsia="en-AU"/>
                <w14:ligatures w14:val="none"/>
              </w:rPr>
              <w:t>2</w:t>
            </w:r>
            <w:r w:rsidR="005A4C87" w:rsidRPr="00BE3F3D">
              <w:rPr>
                <w:rFonts w:ascii="Times New Roman" w:eastAsia="Times New Roman" w:hAnsi="Times New Roman" w:cs="Times New Roman"/>
                <w:color w:val="0D0D0D"/>
                <w:kern w:val="0"/>
                <w:lang w:eastAsia="en-AU"/>
                <w14:ligatures w14:val="none"/>
              </w:rPr>
              <w:t>]</w:t>
            </w:r>
          </w:p>
        </w:tc>
        <w:tc>
          <w:tcPr>
            <w:tcW w:w="0" w:type="auto"/>
            <w:hideMark/>
          </w:tcPr>
          <w:p w14:paraId="5B521C00" w14:textId="77777777" w:rsidR="00B50F02" w:rsidRPr="00BE3F3D" w:rsidRDefault="00B50F02" w:rsidP="005A4C8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Comprehensive tools for managing finances, including budgeting and savings goals.</w:t>
            </w:r>
          </w:p>
        </w:tc>
        <w:tc>
          <w:tcPr>
            <w:tcW w:w="0" w:type="auto"/>
            <w:hideMark/>
          </w:tcPr>
          <w:p w14:paraId="7809053D" w14:textId="77777777" w:rsidR="00B50F02" w:rsidRPr="00BE3F3D" w:rsidRDefault="00B50F02" w:rsidP="005A4C8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Active in the fintech ecosystem with a focus on digital banking solutions.</w:t>
            </w:r>
          </w:p>
        </w:tc>
        <w:tc>
          <w:tcPr>
            <w:tcW w:w="0" w:type="auto"/>
            <w:hideMark/>
          </w:tcPr>
          <w:p w14:paraId="0D1ADBD1" w14:textId="77777777" w:rsidR="00B50F02" w:rsidRPr="00BE3F3D" w:rsidRDefault="00B50F02" w:rsidP="005A4C8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Offers a range of financial education tools and resources for customers.</w:t>
            </w:r>
          </w:p>
        </w:tc>
        <w:tc>
          <w:tcPr>
            <w:tcW w:w="0" w:type="auto"/>
            <w:hideMark/>
          </w:tcPr>
          <w:p w14:paraId="5A6F8EB5" w14:textId="77777777" w:rsidR="00B50F02" w:rsidRPr="00BE3F3D" w:rsidRDefault="00B50F02" w:rsidP="005A4C8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Robust security features, including advanced encryption and customized alerts</w:t>
            </w:r>
          </w:p>
        </w:tc>
      </w:tr>
      <w:tr w:rsidR="00BE3F3D" w:rsidRPr="00BE3F3D" w14:paraId="500F2288" w14:textId="77777777" w:rsidTr="00726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FF748B" w14:textId="0276B8CE" w:rsidR="00B50F02" w:rsidRPr="00BE3F3D" w:rsidRDefault="00B50F02" w:rsidP="005A4C87">
            <w:pPr>
              <w:jc w:val="both"/>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Australia and New Zealand Banking Group (ANZ)</w:t>
            </w:r>
            <w:r w:rsidR="005A4C87" w:rsidRPr="00BE3F3D">
              <w:rPr>
                <w:rFonts w:ascii="Times New Roman" w:eastAsia="Times New Roman" w:hAnsi="Times New Roman" w:cs="Times New Roman"/>
                <w:color w:val="0D0D0D"/>
                <w:kern w:val="0"/>
                <w:lang w:eastAsia="en-AU"/>
                <w14:ligatures w14:val="none"/>
              </w:rPr>
              <w:t xml:space="preserve"> [</w:t>
            </w:r>
            <w:r w:rsidR="00BE3F3D">
              <w:rPr>
                <w:rFonts w:ascii="Times New Roman" w:eastAsia="Times New Roman" w:hAnsi="Times New Roman" w:cs="Times New Roman"/>
                <w:color w:val="0D0D0D"/>
                <w:kern w:val="0"/>
                <w:lang w:eastAsia="en-AU"/>
                <w14:ligatures w14:val="none"/>
              </w:rPr>
              <w:t>3</w:t>
            </w:r>
            <w:r w:rsidR="005A4C87" w:rsidRPr="00BE3F3D">
              <w:rPr>
                <w:rFonts w:ascii="Times New Roman" w:eastAsia="Times New Roman" w:hAnsi="Times New Roman" w:cs="Times New Roman"/>
                <w:color w:val="0D0D0D"/>
                <w:kern w:val="0"/>
                <w:lang w:eastAsia="en-AU"/>
                <w14:ligatures w14:val="none"/>
              </w:rPr>
              <w:t>]</w:t>
            </w:r>
          </w:p>
        </w:tc>
        <w:tc>
          <w:tcPr>
            <w:tcW w:w="0" w:type="auto"/>
            <w:hideMark/>
          </w:tcPr>
          <w:p w14:paraId="0D26CA8C" w14:textId="77777777" w:rsidR="00B50F02" w:rsidRPr="00BE3F3D" w:rsidRDefault="00B50F02"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Offers tools for budgeting, saving, and spending analysis within its banking app.</w:t>
            </w:r>
          </w:p>
        </w:tc>
        <w:tc>
          <w:tcPr>
            <w:tcW w:w="0" w:type="auto"/>
            <w:hideMark/>
          </w:tcPr>
          <w:p w14:paraId="24350C5E" w14:textId="77777777" w:rsidR="00B50F02" w:rsidRPr="00BE3F3D" w:rsidRDefault="00B50F02"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Engages in fintech innovation through collaborations and internal development.</w:t>
            </w:r>
          </w:p>
        </w:tc>
        <w:tc>
          <w:tcPr>
            <w:tcW w:w="0" w:type="auto"/>
            <w:hideMark/>
          </w:tcPr>
          <w:p w14:paraId="22282BC5" w14:textId="77777777" w:rsidR="00B50F02" w:rsidRPr="00BE3F3D" w:rsidRDefault="00B50F02"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Provides financial education via online articles, videos, and workshops.</w:t>
            </w:r>
          </w:p>
        </w:tc>
        <w:tc>
          <w:tcPr>
            <w:tcW w:w="0" w:type="auto"/>
            <w:hideMark/>
          </w:tcPr>
          <w:p w14:paraId="7A23F230" w14:textId="77777777" w:rsidR="00B50F02" w:rsidRPr="00BE3F3D" w:rsidRDefault="00B50F02"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Employs strict security measures, including encryption and fraud monitoring.</w:t>
            </w:r>
          </w:p>
        </w:tc>
      </w:tr>
    </w:tbl>
    <w:p w14:paraId="7EFF445A" w14:textId="45D9A11B" w:rsidR="00A77B5F" w:rsidRPr="00BE3F3D" w:rsidRDefault="00A77B5F" w:rsidP="005A4C87">
      <w:pPr>
        <w:jc w:val="both"/>
        <w:rPr>
          <w:rFonts w:ascii="Times New Roman" w:hAnsi="Times New Roman" w:cs="Times New Roman"/>
        </w:rPr>
      </w:pPr>
    </w:p>
    <w:p w14:paraId="53099D0B" w14:textId="77777777" w:rsidR="00836F77" w:rsidRPr="00BE3F3D" w:rsidRDefault="00836F77" w:rsidP="005A4C87">
      <w:pPr>
        <w:jc w:val="both"/>
        <w:rPr>
          <w:rFonts w:ascii="Times New Roman" w:hAnsi="Times New Roman" w:cs="Times New Roman"/>
        </w:rPr>
      </w:pPr>
    </w:p>
    <w:p w14:paraId="75C3F4AB" w14:textId="00BA9F6A" w:rsidR="005A4C87" w:rsidRPr="00BE3F3D" w:rsidRDefault="005A4C87" w:rsidP="007267A6">
      <w:pPr>
        <w:pStyle w:val="ListParagraph"/>
        <w:numPr>
          <w:ilvl w:val="0"/>
          <w:numId w:val="2"/>
        </w:numPr>
        <w:jc w:val="both"/>
        <w:rPr>
          <w:rFonts w:ascii="Times New Roman" w:hAnsi="Times New Roman" w:cs="Times New Roman"/>
          <w:b/>
          <w:bCs/>
        </w:rPr>
      </w:pPr>
      <w:r w:rsidRPr="00BE3F3D">
        <w:rPr>
          <w:rFonts w:ascii="Times New Roman" w:hAnsi="Times New Roman" w:cs="Times New Roman"/>
          <w:b/>
          <w:bCs/>
        </w:rPr>
        <w:t>UI/UX Specific Comparison of Bank Apps</w:t>
      </w:r>
    </w:p>
    <w:p w14:paraId="798E4778" w14:textId="77777777" w:rsidR="005A4C87" w:rsidRPr="00BE3F3D" w:rsidRDefault="005A4C87" w:rsidP="005A4C87">
      <w:pPr>
        <w:jc w:val="both"/>
        <w:rPr>
          <w:rFonts w:ascii="Times New Roman" w:hAnsi="Times New Roman" w:cs="Times New Roman"/>
        </w:rPr>
      </w:pPr>
      <w:r w:rsidRPr="00BE3F3D">
        <w:rPr>
          <w:rFonts w:ascii="Times New Roman" w:hAnsi="Times New Roman" w:cs="Times New Roman"/>
        </w:rPr>
        <w:t>Focusing on the UI/UX, this section delves into the specifics of design quality, ease of navigation, accessibility features, personalization of the user experience, and the overall sense of professionalism and trust evoked by the app interfaces.</w:t>
      </w:r>
    </w:p>
    <w:p w14:paraId="69E4FF1D" w14:textId="77777777" w:rsidR="00F548DB" w:rsidRPr="00BE3F3D" w:rsidRDefault="00F548DB" w:rsidP="00F548DB">
      <w:pPr>
        <w:jc w:val="both"/>
        <w:rPr>
          <w:rFonts w:ascii="Times New Roman" w:hAnsi="Times New Roman" w:cs="Times New Roman"/>
        </w:rPr>
      </w:pPr>
    </w:p>
    <w:p w14:paraId="478F8F47" w14:textId="4C8028F5" w:rsidR="00F548DB" w:rsidRPr="00BE3F3D" w:rsidRDefault="00F548DB" w:rsidP="00F548DB">
      <w:pPr>
        <w:jc w:val="both"/>
        <w:rPr>
          <w:rFonts w:ascii="Times New Roman" w:hAnsi="Times New Roman" w:cs="Times New Roman"/>
        </w:rPr>
      </w:pPr>
      <w:r w:rsidRPr="00BE3F3D">
        <w:rPr>
          <w:rFonts w:ascii="Times New Roman" w:hAnsi="Times New Roman" w:cs="Times New Roman"/>
        </w:rPr>
        <w:t xml:space="preserve">Table </w:t>
      </w:r>
      <w:r w:rsidRPr="00BE3F3D">
        <w:rPr>
          <w:rFonts w:ascii="Times New Roman" w:hAnsi="Times New Roman" w:cs="Times New Roman"/>
        </w:rPr>
        <w:t>2</w:t>
      </w:r>
      <w:r w:rsidRPr="00BE3F3D">
        <w:rPr>
          <w:rFonts w:ascii="Times New Roman" w:hAnsi="Times New Roman" w:cs="Times New Roman"/>
        </w:rPr>
        <w:t xml:space="preserve">. summarize the </w:t>
      </w:r>
      <w:r w:rsidRPr="00BE3F3D">
        <w:rPr>
          <w:rFonts w:ascii="Times New Roman" w:hAnsi="Times New Roman" w:cs="Times New Roman"/>
        </w:rPr>
        <w:t>design</w:t>
      </w:r>
      <w:r w:rsidRPr="00BE3F3D">
        <w:rPr>
          <w:rFonts w:ascii="Times New Roman" w:hAnsi="Times New Roman" w:cs="Times New Roman"/>
        </w:rPr>
        <w:t xml:space="preserve"> features of banking applications for financial well-being.</w:t>
      </w:r>
    </w:p>
    <w:tbl>
      <w:tblPr>
        <w:tblStyle w:val="ListTable4-Accent1"/>
        <w:tblW w:w="0" w:type="auto"/>
        <w:tblLook w:val="04A0" w:firstRow="1" w:lastRow="0" w:firstColumn="1" w:lastColumn="0" w:noHBand="0" w:noVBand="1"/>
      </w:tblPr>
      <w:tblGrid>
        <w:gridCol w:w="1702"/>
        <w:gridCol w:w="1324"/>
        <w:gridCol w:w="1391"/>
        <w:gridCol w:w="1293"/>
        <w:gridCol w:w="1616"/>
        <w:gridCol w:w="1690"/>
      </w:tblGrid>
      <w:tr w:rsidR="00BE3F3D" w:rsidRPr="00BE3F3D" w14:paraId="1D4A8A81" w14:textId="4F5E3A27" w:rsidTr="00BE3F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tcPr>
          <w:p w14:paraId="6247F7C1" w14:textId="77777777" w:rsidR="00B50F02" w:rsidRPr="00BE3F3D" w:rsidRDefault="00B50F02" w:rsidP="005A4C87">
            <w:pPr>
              <w:jc w:val="both"/>
              <w:rPr>
                <w:rFonts w:ascii="Times New Roman" w:hAnsi="Times New Roman" w:cs="Times New Roman"/>
              </w:rPr>
            </w:pPr>
            <w:r w:rsidRPr="00BE3F3D">
              <w:rPr>
                <w:rFonts w:ascii="Times New Roman" w:eastAsia="Times New Roman" w:hAnsi="Times New Roman" w:cs="Times New Roman"/>
                <w:kern w:val="0"/>
                <w:lang w:eastAsia="en-AU"/>
                <w14:ligatures w14:val="none"/>
              </w:rPr>
              <w:t>Bank</w:t>
            </w:r>
          </w:p>
        </w:tc>
        <w:tc>
          <w:tcPr>
            <w:tcW w:w="1428" w:type="dxa"/>
          </w:tcPr>
          <w:p w14:paraId="7DF898DA" w14:textId="206A2431" w:rsidR="00B50F02" w:rsidRPr="00BE3F3D" w:rsidRDefault="00B50F02" w:rsidP="005A4C8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3F3D">
              <w:rPr>
                <w:rFonts w:ascii="Times New Roman" w:eastAsia="Times New Roman" w:hAnsi="Times New Roman" w:cs="Times New Roman"/>
                <w:kern w:val="0"/>
                <w:lang w:eastAsia="en-AU"/>
                <w14:ligatures w14:val="none"/>
              </w:rPr>
              <w:t>UI Design</w:t>
            </w:r>
          </w:p>
        </w:tc>
        <w:tc>
          <w:tcPr>
            <w:tcW w:w="1440" w:type="dxa"/>
          </w:tcPr>
          <w:p w14:paraId="450CD90F" w14:textId="2F4553A0" w:rsidR="00B50F02" w:rsidRPr="00BE3F3D" w:rsidRDefault="00B50F02" w:rsidP="005A4C8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3F3D">
              <w:rPr>
                <w:rFonts w:ascii="Times New Roman" w:eastAsia="Times New Roman" w:hAnsi="Times New Roman" w:cs="Times New Roman"/>
                <w:kern w:val="0"/>
                <w:lang w:eastAsia="en-AU"/>
                <w14:ligatures w14:val="none"/>
              </w:rPr>
              <w:t>UX Best Practices</w:t>
            </w:r>
          </w:p>
        </w:tc>
        <w:tc>
          <w:tcPr>
            <w:tcW w:w="1298" w:type="dxa"/>
          </w:tcPr>
          <w:p w14:paraId="18EFE3A7" w14:textId="746B0DC3" w:rsidR="00B50F02" w:rsidRPr="00BE3F3D" w:rsidRDefault="00B50F02" w:rsidP="005A4C8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3F3D">
              <w:rPr>
                <w:rFonts w:ascii="Times New Roman" w:eastAsia="Times New Roman" w:hAnsi="Times New Roman" w:cs="Times New Roman"/>
                <w:kern w:val="0"/>
                <w:lang w:eastAsia="en-AU"/>
                <w14:ligatures w14:val="none"/>
              </w:rPr>
              <w:t>Navigation</w:t>
            </w:r>
          </w:p>
        </w:tc>
        <w:tc>
          <w:tcPr>
            <w:tcW w:w="1525" w:type="dxa"/>
          </w:tcPr>
          <w:p w14:paraId="45FD30EB" w14:textId="1B97F977" w:rsidR="00B50F02" w:rsidRPr="00BE3F3D" w:rsidRDefault="00B50F02" w:rsidP="005A4C8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3F3D">
              <w:rPr>
                <w:rFonts w:ascii="Times New Roman" w:eastAsia="Times New Roman" w:hAnsi="Times New Roman" w:cs="Times New Roman"/>
                <w:kern w:val="0"/>
                <w:lang w:eastAsia="en-AU"/>
                <w14:ligatures w14:val="none"/>
              </w:rPr>
              <w:t>Accessibility</w:t>
            </w:r>
          </w:p>
        </w:tc>
        <w:tc>
          <w:tcPr>
            <w:tcW w:w="1791" w:type="dxa"/>
          </w:tcPr>
          <w:p w14:paraId="6CE9C02F" w14:textId="22C3E275" w:rsidR="00B50F02" w:rsidRPr="00BE3F3D" w:rsidRDefault="00B50F02" w:rsidP="005A4C87">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lang w:eastAsia="en-AU"/>
                <w14:ligatures w14:val="none"/>
              </w:rPr>
            </w:pPr>
            <w:r w:rsidRPr="00BE3F3D">
              <w:rPr>
                <w:rFonts w:ascii="Times New Roman" w:eastAsia="Times New Roman" w:hAnsi="Times New Roman" w:cs="Times New Roman"/>
                <w:kern w:val="0"/>
                <w:lang w:eastAsia="en-AU"/>
                <w14:ligatures w14:val="none"/>
              </w:rPr>
              <w:t>Professionalism</w:t>
            </w:r>
          </w:p>
        </w:tc>
      </w:tr>
      <w:tr w:rsidR="00BE3F3D" w:rsidRPr="00BE3F3D" w14:paraId="583099AC" w14:textId="5E7EB8FE" w:rsidTr="00BE3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hideMark/>
          </w:tcPr>
          <w:p w14:paraId="4FB03641" w14:textId="4685B785" w:rsidR="00B50F02" w:rsidRPr="00BE3F3D" w:rsidRDefault="00B50F02" w:rsidP="005A4C87">
            <w:pPr>
              <w:jc w:val="both"/>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Commonwealth Bank (CBA)</w:t>
            </w:r>
            <w:r w:rsidR="005A4C87" w:rsidRPr="00BE3F3D">
              <w:rPr>
                <w:rFonts w:ascii="Times New Roman" w:eastAsia="Times New Roman" w:hAnsi="Times New Roman" w:cs="Times New Roman"/>
                <w:color w:val="0D0D0D"/>
                <w:kern w:val="0"/>
                <w:lang w:eastAsia="en-AU"/>
                <w14:ligatures w14:val="none"/>
              </w:rPr>
              <w:t xml:space="preserve"> [1]</w:t>
            </w:r>
          </w:p>
        </w:tc>
        <w:tc>
          <w:tcPr>
            <w:tcW w:w="1428" w:type="dxa"/>
            <w:tcBorders>
              <w:top w:val="single" w:sz="4" w:space="0" w:color="156082" w:themeColor="accent1"/>
              <w:bottom w:val="single" w:sz="4" w:space="0" w:color="auto"/>
              <w:right w:val="single" w:sz="4" w:space="0" w:color="auto"/>
            </w:tcBorders>
            <w:hideMark/>
          </w:tcPr>
          <w:p w14:paraId="361E28B7" w14:textId="45C63028" w:rsidR="00B50F02" w:rsidRPr="00BE3F3D" w:rsidRDefault="00B50F02"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Clean, intuitive design emphasizing ease of use.</w:t>
            </w:r>
          </w:p>
        </w:tc>
        <w:tc>
          <w:tcPr>
            <w:tcW w:w="1440" w:type="dxa"/>
            <w:tcBorders>
              <w:top w:val="single" w:sz="4" w:space="0" w:color="156082" w:themeColor="accent1"/>
              <w:left w:val="single" w:sz="4" w:space="0" w:color="auto"/>
              <w:bottom w:val="single" w:sz="4" w:space="0" w:color="auto"/>
              <w:right w:val="single" w:sz="4" w:space="0" w:color="auto"/>
            </w:tcBorders>
            <w:hideMark/>
          </w:tcPr>
          <w:p w14:paraId="3E0CCACC" w14:textId="3266D5E1" w:rsidR="00B50F02" w:rsidRPr="00BE3F3D" w:rsidRDefault="00B50F02"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Personalized financial insights, easy account management.</w:t>
            </w:r>
          </w:p>
        </w:tc>
        <w:tc>
          <w:tcPr>
            <w:tcW w:w="1298" w:type="dxa"/>
            <w:tcBorders>
              <w:top w:val="single" w:sz="4" w:space="0" w:color="156082" w:themeColor="accent1"/>
              <w:left w:val="single" w:sz="4" w:space="0" w:color="auto"/>
              <w:bottom w:val="single" w:sz="4" w:space="0" w:color="auto"/>
              <w:right w:val="single" w:sz="4" w:space="0" w:color="auto"/>
            </w:tcBorders>
            <w:hideMark/>
          </w:tcPr>
          <w:p w14:paraId="0BCCD78B" w14:textId="4321EFE6" w:rsidR="00B50F02" w:rsidRPr="00BE3F3D" w:rsidRDefault="00B50F02"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Streamlined navigation allowing quick access to all features.</w:t>
            </w:r>
          </w:p>
        </w:tc>
        <w:tc>
          <w:tcPr>
            <w:tcW w:w="1525" w:type="dxa"/>
            <w:tcBorders>
              <w:top w:val="single" w:sz="4" w:space="0" w:color="156082" w:themeColor="accent1"/>
              <w:left w:val="single" w:sz="4" w:space="0" w:color="auto"/>
              <w:bottom w:val="single" w:sz="4" w:space="0" w:color="auto"/>
              <w:right w:val="single" w:sz="4" w:space="0" w:color="auto"/>
            </w:tcBorders>
            <w:hideMark/>
          </w:tcPr>
          <w:p w14:paraId="4C75A465" w14:textId="3AE63E2F" w:rsidR="00B50F02" w:rsidRPr="00BE3F3D" w:rsidRDefault="00B50F02"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High, with features for visually impaired users.</w:t>
            </w:r>
          </w:p>
        </w:tc>
        <w:tc>
          <w:tcPr>
            <w:tcW w:w="1791" w:type="dxa"/>
            <w:tcBorders>
              <w:top w:val="single" w:sz="4" w:space="0" w:color="156082" w:themeColor="accent1"/>
              <w:left w:val="single" w:sz="4" w:space="0" w:color="auto"/>
              <w:bottom w:val="single" w:sz="4" w:space="0" w:color="auto"/>
            </w:tcBorders>
          </w:tcPr>
          <w:p w14:paraId="3E8BD418" w14:textId="46CF2420" w:rsidR="00B50F02" w:rsidRPr="00BE3F3D" w:rsidRDefault="00B50F02"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Highly professional, with a secure and trustworthy design.</w:t>
            </w:r>
          </w:p>
        </w:tc>
      </w:tr>
      <w:tr w:rsidR="00BE3F3D" w:rsidRPr="00BE3F3D" w14:paraId="19AE3C49" w14:textId="3000DED5" w:rsidTr="00BE3F3D">
        <w:tc>
          <w:tcPr>
            <w:cnfStyle w:val="001000000000" w:firstRow="0" w:lastRow="0" w:firstColumn="1" w:lastColumn="0" w:oddVBand="0" w:evenVBand="0" w:oddHBand="0" w:evenHBand="0" w:firstRowFirstColumn="0" w:firstRowLastColumn="0" w:lastRowFirstColumn="0" w:lastRowLastColumn="0"/>
            <w:tcW w:w="1544" w:type="dxa"/>
            <w:hideMark/>
          </w:tcPr>
          <w:p w14:paraId="6A9709A9" w14:textId="09971050" w:rsidR="00B50F02" w:rsidRPr="00BE3F3D" w:rsidRDefault="00B50F02" w:rsidP="005A4C87">
            <w:pPr>
              <w:jc w:val="both"/>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National Australia Bank (NAB)</w:t>
            </w:r>
            <w:r w:rsidR="00BE3F3D">
              <w:rPr>
                <w:rFonts w:ascii="Times New Roman" w:eastAsia="Times New Roman" w:hAnsi="Times New Roman" w:cs="Times New Roman"/>
                <w:color w:val="0D0D0D"/>
                <w:kern w:val="0"/>
                <w:lang w:eastAsia="en-AU"/>
                <w14:ligatures w14:val="none"/>
              </w:rPr>
              <w:t xml:space="preserve"> [2]</w:t>
            </w:r>
          </w:p>
        </w:tc>
        <w:tc>
          <w:tcPr>
            <w:tcW w:w="1428" w:type="dxa"/>
            <w:tcBorders>
              <w:top w:val="single" w:sz="4" w:space="0" w:color="auto"/>
              <w:bottom w:val="single" w:sz="4" w:space="0" w:color="auto"/>
              <w:right w:val="single" w:sz="4" w:space="0" w:color="auto"/>
            </w:tcBorders>
            <w:hideMark/>
          </w:tcPr>
          <w:p w14:paraId="3F5A7BE6" w14:textId="241B86F4" w:rsidR="00B50F02" w:rsidRPr="00BE3F3D" w:rsidRDefault="000B241B" w:rsidP="005A4C8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Simple and practical, focusing on user needs.</w:t>
            </w:r>
          </w:p>
        </w:tc>
        <w:tc>
          <w:tcPr>
            <w:tcW w:w="1440" w:type="dxa"/>
            <w:tcBorders>
              <w:top w:val="single" w:sz="4" w:space="0" w:color="auto"/>
              <w:left w:val="single" w:sz="4" w:space="0" w:color="auto"/>
              <w:bottom w:val="single" w:sz="4" w:space="0" w:color="auto"/>
              <w:right w:val="single" w:sz="4" w:space="0" w:color="auto"/>
            </w:tcBorders>
            <w:hideMark/>
          </w:tcPr>
          <w:p w14:paraId="0D5008CA" w14:textId="52822738" w:rsidR="00B50F02" w:rsidRPr="00BE3F3D" w:rsidRDefault="000B241B" w:rsidP="005A4C8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 xml:space="preserve">Streamlined budgeting, savings, and debt management </w:t>
            </w:r>
            <w:proofErr w:type="gramStart"/>
            <w:r w:rsidRPr="00BE3F3D">
              <w:rPr>
                <w:rFonts w:ascii="Times New Roman" w:eastAsia="Times New Roman" w:hAnsi="Times New Roman" w:cs="Times New Roman"/>
                <w:color w:val="0D0D0D"/>
                <w:kern w:val="0"/>
                <w:lang w:eastAsia="en-AU"/>
                <w14:ligatures w14:val="none"/>
              </w:rPr>
              <w:t>features.</w:t>
            </w:r>
            <w:r w:rsidR="00B50F02" w:rsidRPr="00BE3F3D">
              <w:rPr>
                <w:rFonts w:ascii="Times New Roman" w:eastAsia="Times New Roman" w:hAnsi="Times New Roman" w:cs="Times New Roman"/>
                <w:color w:val="0D0D0D"/>
                <w:kern w:val="0"/>
                <w:lang w:eastAsia="en-AU"/>
                <w14:ligatures w14:val="none"/>
              </w:rPr>
              <w:t>.</w:t>
            </w:r>
            <w:proofErr w:type="gramEnd"/>
          </w:p>
        </w:tc>
        <w:tc>
          <w:tcPr>
            <w:tcW w:w="1298" w:type="dxa"/>
            <w:tcBorders>
              <w:top w:val="single" w:sz="4" w:space="0" w:color="auto"/>
              <w:left w:val="single" w:sz="4" w:space="0" w:color="auto"/>
              <w:bottom w:val="single" w:sz="4" w:space="0" w:color="auto"/>
              <w:right w:val="single" w:sz="4" w:space="0" w:color="auto"/>
            </w:tcBorders>
            <w:hideMark/>
          </w:tcPr>
          <w:p w14:paraId="526DE5E1" w14:textId="6CBD1217" w:rsidR="00B50F02" w:rsidRPr="00BE3F3D" w:rsidRDefault="000B241B" w:rsidP="005A4C8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Easy-to-navigate, with emphasis on core banking features.</w:t>
            </w:r>
          </w:p>
        </w:tc>
        <w:tc>
          <w:tcPr>
            <w:tcW w:w="1525" w:type="dxa"/>
            <w:tcBorders>
              <w:top w:val="single" w:sz="4" w:space="0" w:color="auto"/>
              <w:left w:val="single" w:sz="4" w:space="0" w:color="auto"/>
              <w:bottom w:val="single" w:sz="4" w:space="0" w:color="auto"/>
              <w:right w:val="single" w:sz="4" w:space="0" w:color="auto"/>
            </w:tcBorders>
            <w:hideMark/>
          </w:tcPr>
          <w:p w14:paraId="5D18C0ED" w14:textId="6B05A997" w:rsidR="00B50F02" w:rsidRPr="00BE3F3D" w:rsidRDefault="000B7CFF" w:rsidP="005A4C8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Strong focus on making financial services accessible to all.</w:t>
            </w:r>
          </w:p>
        </w:tc>
        <w:tc>
          <w:tcPr>
            <w:tcW w:w="1791" w:type="dxa"/>
            <w:tcBorders>
              <w:top w:val="single" w:sz="4" w:space="0" w:color="auto"/>
              <w:left w:val="single" w:sz="4" w:space="0" w:color="auto"/>
              <w:bottom w:val="single" w:sz="4" w:space="0" w:color="auto"/>
            </w:tcBorders>
          </w:tcPr>
          <w:p w14:paraId="2C715BEF" w14:textId="4131EEF6" w:rsidR="00B50F02" w:rsidRPr="00BE3F3D" w:rsidRDefault="00EC6EDB" w:rsidP="005A4C8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Strong corporate identity, reassuring users of its reliability.</w:t>
            </w:r>
          </w:p>
        </w:tc>
      </w:tr>
      <w:tr w:rsidR="00BE3F3D" w:rsidRPr="00BE3F3D" w14:paraId="2BAB0A3E" w14:textId="13E0AF67" w:rsidTr="00BE3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dxa"/>
            <w:hideMark/>
          </w:tcPr>
          <w:p w14:paraId="4C4B7D7B" w14:textId="408E1729" w:rsidR="00B50F02" w:rsidRPr="00BE3F3D" w:rsidRDefault="00B50F02" w:rsidP="005A4C87">
            <w:pPr>
              <w:jc w:val="both"/>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t xml:space="preserve">Australia and New Zealand Banking </w:t>
            </w:r>
            <w:r w:rsidRPr="00BE3F3D">
              <w:rPr>
                <w:rFonts w:ascii="Times New Roman" w:eastAsia="Times New Roman" w:hAnsi="Times New Roman" w:cs="Times New Roman"/>
                <w:color w:val="0D0D0D"/>
                <w:kern w:val="0"/>
                <w:lang w:eastAsia="en-AU"/>
                <w14:ligatures w14:val="none"/>
              </w:rPr>
              <w:lastRenderedPageBreak/>
              <w:t>Group (ANZ)</w:t>
            </w:r>
            <w:r w:rsidR="00BE3F3D">
              <w:rPr>
                <w:rFonts w:ascii="Times New Roman" w:eastAsia="Times New Roman" w:hAnsi="Times New Roman" w:cs="Times New Roman"/>
                <w:color w:val="0D0D0D"/>
                <w:kern w:val="0"/>
                <w:lang w:eastAsia="en-AU"/>
                <w14:ligatures w14:val="none"/>
              </w:rPr>
              <w:t xml:space="preserve"> [3]</w:t>
            </w:r>
          </w:p>
        </w:tc>
        <w:tc>
          <w:tcPr>
            <w:tcW w:w="1428" w:type="dxa"/>
            <w:tcBorders>
              <w:top w:val="single" w:sz="4" w:space="0" w:color="auto"/>
              <w:right w:val="single" w:sz="4" w:space="0" w:color="auto"/>
            </w:tcBorders>
            <w:hideMark/>
          </w:tcPr>
          <w:p w14:paraId="0719C409" w14:textId="57282575" w:rsidR="00B50F02" w:rsidRPr="00BE3F3D" w:rsidRDefault="00212B29"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lastRenderedPageBreak/>
              <w:t xml:space="preserve">Clean, modern design; navigation </w:t>
            </w:r>
            <w:r w:rsidRPr="00BE3F3D">
              <w:rPr>
                <w:rFonts w:ascii="Times New Roman" w:eastAsia="Times New Roman" w:hAnsi="Times New Roman" w:cs="Times New Roman"/>
                <w:color w:val="0D0D0D"/>
                <w:kern w:val="0"/>
                <w:lang w:eastAsia="en-AU"/>
                <w14:ligatures w14:val="none"/>
              </w:rPr>
              <w:lastRenderedPageBreak/>
              <w:t>could be improved.</w:t>
            </w:r>
          </w:p>
        </w:tc>
        <w:tc>
          <w:tcPr>
            <w:tcW w:w="1440" w:type="dxa"/>
            <w:tcBorders>
              <w:top w:val="single" w:sz="4" w:space="0" w:color="auto"/>
              <w:left w:val="single" w:sz="4" w:space="0" w:color="auto"/>
              <w:right w:val="single" w:sz="4" w:space="0" w:color="auto"/>
            </w:tcBorders>
            <w:hideMark/>
          </w:tcPr>
          <w:p w14:paraId="0282336A" w14:textId="419F1F37" w:rsidR="00B50F02" w:rsidRPr="00BE3F3D" w:rsidRDefault="003348EB"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lastRenderedPageBreak/>
              <w:t xml:space="preserve">Financial wellbeing tools, including </w:t>
            </w:r>
            <w:r w:rsidRPr="00BE3F3D">
              <w:rPr>
                <w:rFonts w:ascii="Times New Roman" w:eastAsia="Times New Roman" w:hAnsi="Times New Roman" w:cs="Times New Roman"/>
                <w:color w:val="0D0D0D"/>
                <w:kern w:val="0"/>
                <w:lang w:eastAsia="en-AU"/>
                <w14:ligatures w14:val="none"/>
              </w:rPr>
              <w:lastRenderedPageBreak/>
              <w:t>wellbeing score.</w:t>
            </w:r>
          </w:p>
        </w:tc>
        <w:tc>
          <w:tcPr>
            <w:tcW w:w="1298" w:type="dxa"/>
            <w:tcBorders>
              <w:top w:val="single" w:sz="4" w:space="0" w:color="auto"/>
              <w:left w:val="single" w:sz="4" w:space="0" w:color="auto"/>
              <w:right w:val="single" w:sz="4" w:space="0" w:color="auto"/>
            </w:tcBorders>
            <w:hideMark/>
          </w:tcPr>
          <w:p w14:paraId="57FB0814" w14:textId="72DD03DC" w:rsidR="00B50F02" w:rsidRPr="00BE3F3D" w:rsidRDefault="000B7CFF"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lastRenderedPageBreak/>
              <w:t xml:space="preserve">User-friendly navigation, though </w:t>
            </w:r>
            <w:r w:rsidRPr="00BE3F3D">
              <w:rPr>
                <w:rFonts w:ascii="Times New Roman" w:eastAsia="Times New Roman" w:hAnsi="Times New Roman" w:cs="Times New Roman"/>
                <w:color w:val="0D0D0D"/>
                <w:kern w:val="0"/>
                <w:lang w:eastAsia="en-AU"/>
                <w14:ligatures w14:val="none"/>
              </w:rPr>
              <w:lastRenderedPageBreak/>
              <w:t>some areas could be streamlined.</w:t>
            </w:r>
          </w:p>
        </w:tc>
        <w:tc>
          <w:tcPr>
            <w:tcW w:w="1525" w:type="dxa"/>
            <w:tcBorders>
              <w:top w:val="single" w:sz="4" w:space="0" w:color="auto"/>
              <w:left w:val="single" w:sz="4" w:space="0" w:color="auto"/>
              <w:right w:val="single" w:sz="4" w:space="0" w:color="auto"/>
            </w:tcBorders>
            <w:hideMark/>
          </w:tcPr>
          <w:p w14:paraId="5471C54D" w14:textId="03ABCE4B" w:rsidR="00B50F02" w:rsidRPr="00BE3F3D" w:rsidRDefault="000B7CFF"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lastRenderedPageBreak/>
              <w:t xml:space="preserve">Adequate, but with room for improvement in </w:t>
            </w:r>
            <w:r w:rsidRPr="00BE3F3D">
              <w:rPr>
                <w:rFonts w:ascii="Times New Roman" w:eastAsia="Times New Roman" w:hAnsi="Times New Roman" w:cs="Times New Roman"/>
                <w:color w:val="0D0D0D"/>
                <w:kern w:val="0"/>
                <w:lang w:eastAsia="en-AU"/>
                <w14:ligatures w14:val="none"/>
              </w:rPr>
              <w:lastRenderedPageBreak/>
              <w:t>accommodating diverse user needs.</w:t>
            </w:r>
          </w:p>
        </w:tc>
        <w:tc>
          <w:tcPr>
            <w:tcW w:w="1791" w:type="dxa"/>
            <w:tcBorders>
              <w:top w:val="single" w:sz="4" w:space="0" w:color="auto"/>
              <w:left w:val="single" w:sz="4" w:space="0" w:color="auto"/>
            </w:tcBorders>
          </w:tcPr>
          <w:p w14:paraId="2DB5B226" w14:textId="67E5316B" w:rsidR="00B50F02" w:rsidRPr="00BE3F3D" w:rsidRDefault="00EC6EDB" w:rsidP="005A4C8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kern w:val="0"/>
                <w:lang w:eastAsia="en-AU"/>
                <w14:ligatures w14:val="none"/>
              </w:rPr>
            </w:pPr>
            <w:r w:rsidRPr="00BE3F3D">
              <w:rPr>
                <w:rFonts w:ascii="Times New Roman" w:eastAsia="Times New Roman" w:hAnsi="Times New Roman" w:cs="Times New Roman"/>
                <w:color w:val="0D0D0D"/>
                <w:kern w:val="0"/>
                <w:lang w:eastAsia="en-AU"/>
                <w14:ligatures w14:val="none"/>
              </w:rPr>
              <w:lastRenderedPageBreak/>
              <w:t xml:space="preserve">Modern and professional, though some design </w:t>
            </w:r>
            <w:r w:rsidRPr="00BE3F3D">
              <w:rPr>
                <w:rFonts w:ascii="Times New Roman" w:eastAsia="Times New Roman" w:hAnsi="Times New Roman" w:cs="Times New Roman"/>
                <w:color w:val="0D0D0D"/>
                <w:kern w:val="0"/>
                <w:lang w:eastAsia="en-AU"/>
                <w14:ligatures w14:val="none"/>
              </w:rPr>
              <w:lastRenderedPageBreak/>
              <w:t>elements could be enhanced.</w:t>
            </w:r>
          </w:p>
        </w:tc>
      </w:tr>
    </w:tbl>
    <w:p w14:paraId="272F727D" w14:textId="77777777" w:rsidR="00B50F02" w:rsidRPr="00BE3F3D" w:rsidRDefault="00B50F02" w:rsidP="005A4C87">
      <w:pPr>
        <w:jc w:val="both"/>
        <w:rPr>
          <w:rFonts w:ascii="Times New Roman" w:hAnsi="Times New Roman" w:cs="Times New Roman"/>
        </w:rPr>
      </w:pPr>
    </w:p>
    <w:p w14:paraId="05B79A64" w14:textId="4A102E6E" w:rsidR="005A4C87" w:rsidRPr="00BE3F3D" w:rsidRDefault="00A91C22" w:rsidP="005A4C87">
      <w:pPr>
        <w:jc w:val="both"/>
        <w:rPr>
          <w:rFonts w:ascii="Times New Roman" w:hAnsi="Times New Roman" w:cs="Times New Roman"/>
        </w:rPr>
      </w:pPr>
      <w:r w:rsidRPr="00BE3F3D">
        <w:rPr>
          <w:rFonts w:ascii="Times New Roman" w:hAnsi="Times New Roman" w:cs="Times New Roman"/>
        </w:rPr>
        <w:t>Screenshots of the feature ‘Financial Wellbeing’ offered by the banks are given below:</w:t>
      </w:r>
    </w:p>
    <w:p w14:paraId="3A6EE565" w14:textId="3AA2377F" w:rsidR="00A91C22" w:rsidRPr="00BE3F3D" w:rsidRDefault="00A91C22" w:rsidP="00A91C22">
      <w:pPr>
        <w:pStyle w:val="ListParagraph"/>
        <w:numPr>
          <w:ilvl w:val="0"/>
          <w:numId w:val="3"/>
        </w:numPr>
        <w:jc w:val="both"/>
        <w:rPr>
          <w:rFonts w:ascii="Times New Roman" w:hAnsi="Times New Roman" w:cs="Times New Roman"/>
          <w:b/>
          <w:bCs/>
        </w:rPr>
      </w:pPr>
      <w:r w:rsidRPr="00BE3F3D">
        <w:rPr>
          <w:rFonts w:ascii="Times New Roman" w:hAnsi="Times New Roman" w:cs="Times New Roman"/>
          <w:b/>
          <w:bCs/>
        </w:rPr>
        <w:t>Commonwealth Financial Wellbeing</w:t>
      </w:r>
    </w:p>
    <w:p w14:paraId="49040B34" w14:textId="6F92C6A7" w:rsidR="00A91C22" w:rsidRPr="00BE3F3D" w:rsidRDefault="00A91C22" w:rsidP="005A4C87">
      <w:pPr>
        <w:jc w:val="both"/>
        <w:rPr>
          <w:rFonts w:ascii="Times New Roman" w:hAnsi="Times New Roman" w:cs="Times New Roman"/>
        </w:rPr>
      </w:pPr>
      <w:r w:rsidRPr="00BE3F3D">
        <w:rPr>
          <w:rFonts w:ascii="Times New Roman" w:hAnsi="Times New Roman" w:cs="Times New Roman"/>
        </w:rPr>
        <w:t xml:space="preserve">Link: 1 </w:t>
      </w:r>
      <w:hyperlink r:id="rId6" w:history="1">
        <w:r w:rsidRPr="00BE3F3D">
          <w:rPr>
            <w:rStyle w:val="Hyperlink"/>
            <w:rFonts w:ascii="Times New Roman" w:hAnsi="Times New Roman" w:cs="Times New Roman"/>
          </w:rPr>
          <w:t>Better understand your financial wellbeing - CommBank</w:t>
        </w:r>
      </w:hyperlink>
    </w:p>
    <w:p w14:paraId="0FDE608A" w14:textId="7A815824" w:rsidR="00A91C22" w:rsidRPr="00BE3F3D" w:rsidRDefault="009114EA" w:rsidP="005A4C87">
      <w:pPr>
        <w:jc w:val="both"/>
        <w:rPr>
          <w:rFonts w:ascii="Times New Roman" w:hAnsi="Times New Roman" w:cs="Times New Roman"/>
        </w:rPr>
      </w:pPr>
      <w:r w:rsidRPr="00BE3F3D">
        <w:rPr>
          <w:rFonts w:ascii="Times New Roman" w:hAnsi="Times New Roman" w:cs="Times New Roman"/>
        </w:rPr>
        <w:drawing>
          <wp:inline distT="0" distB="0" distL="0" distR="0" wp14:anchorId="4F1F550A" wp14:editId="03A09E4C">
            <wp:extent cx="5731510" cy="2727960"/>
            <wp:effectExtent l="0" t="0" r="2540" b="0"/>
            <wp:docPr id="77114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1807" name=""/>
                    <pic:cNvPicPr/>
                  </pic:nvPicPr>
                  <pic:blipFill rotWithShape="1">
                    <a:blip r:embed="rId7"/>
                    <a:srcRect b="5416"/>
                    <a:stretch/>
                  </pic:blipFill>
                  <pic:spPr bwMode="auto">
                    <a:xfrm>
                      <a:off x="0" y="0"/>
                      <a:ext cx="5731510" cy="2727960"/>
                    </a:xfrm>
                    <a:prstGeom prst="rect">
                      <a:avLst/>
                    </a:prstGeom>
                    <a:ln>
                      <a:noFill/>
                    </a:ln>
                    <a:extLst>
                      <a:ext uri="{53640926-AAD7-44D8-BBD7-CCE9431645EC}">
                        <a14:shadowObscured xmlns:a14="http://schemas.microsoft.com/office/drawing/2010/main"/>
                      </a:ext>
                    </a:extLst>
                  </pic:spPr>
                </pic:pic>
              </a:graphicData>
            </a:graphic>
          </wp:inline>
        </w:drawing>
      </w:r>
    </w:p>
    <w:p w14:paraId="7F350A98" w14:textId="26F61EE4" w:rsidR="009114EA" w:rsidRPr="00BE3F3D" w:rsidRDefault="009114EA" w:rsidP="005A4C87">
      <w:pPr>
        <w:jc w:val="both"/>
        <w:rPr>
          <w:rFonts w:ascii="Times New Roman" w:hAnsi="Times New Roman" w:cs="Times New Roman"/>
        </w:rPr>
      </w:pPr>
      <w:r w:rsidRPr="00BE3F3D">
        <w:rPr>
          <w:rFonts w:ascii="Times New Roman" w:hAnsi="Times New Roman" w:cs="Times New Roman"/>
        </w:rPr>
        <w:t>Figure 1. Homepage of financial wellbeing</w:t>
      </w:r>
    </w:p>
    <w:p w14:paraId="56FF3B06" w14:textId="529CC569" w:rsidR="009114EA" w:rsidRPr="00BE3F3D" w:rsidRDefault="009114EA" w:rsidP="005A4C87">
      <w:pPr>
        <w:jc w:val="both"/>
        <w:rPr>
          <w:rFonts w:ascii="Times New Roman" w:hAnsi="Times New Roman" w:cs="Times New Roman"/>
        </w:rPr>
      </w:pPr>
      <w:r w:rsidRPr="00BE3F3D">
        <w:rPr>
          <w:rFonts w:ascii="Times New Roman" w:hAnsi="Times New Roman" w:cs="Times New Roman"/>
        </w:rPr>
        <w:drawing>
          <wp:inline distT="0" distB="0" distL="0" distR="0" wp14:anchorId="634E4015" wp14:editId="4ECB5B0C">
            <wp:extent cx="5731510" cy="2794000"/>
            <wp:effectExtent l="0" t="0" r="2540" b="6350"/>
            <wp:docPr id="13389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058" name="Picture 1" descr="A screenshot of a computer&#10;&#10;Description automatically generated"/>
                    <pic:cNvPicPr/>
                  </pic:nvPicPr>
                  <pic:blipFill>
                    <a:blip r:embed="rId8"/>
                    <a:stretch>
                      <a:fillRect/>
                    </a:stretch>
                  </pic:blipFill>
                  <pic:spPr>
                    <a:xfrm>
                      <a:off x="0" y="0"/>
                      <a:ext cx="5731510" cy="2794000"/>
                    </a:xfrm>
                    <a:prstGeom prst="rect">
                      <a:avLst/>
                    </a:prstGeom>
                  </pic:spPr>
                </pic:pic>
              </a:graphicData>
            </a:graphic>
          </wp:inline>
        </w:drawing>
      </w:r>
    </w:p>
    <w:p w14:paraId="22985AE8" w14:textId="51290F89" w:rsidR="009114EA" w:rsidRPr="00BE3F3D" w:rsidRDefault="009114EA" w:rsidP="005A4C87">
      <w:pPr>
        <w:jc w:val="both"/>
        <w:rPr>
          <w:rFonts w:ascii="Times New Roman" w:hAnsi="Times New Roman" w:cs="Times New Roman"/>
        </w:rPr>
      </w:pPr>
      <w:r w:rsidRPr="00BE3F3D">
        <w:rPr>
          <w:rFonts w:ascii="Times New Roman" w:hAnsi="Times New Roman" w:cs="Times New Roman"/>
        </w:rPr>
        <w:t>Figure 2. Survey page of financial wellbeing</w:t>
      </w:r>
      <w:r w:rsidR="00793B74" w:rsidRPr="00BE3F3D">
        <w:rPr>
          <w:rFonts w:ascii="Times New Roman" w:hAnsi="Times New Roman" w:cs="Times New Roman"/>
        </w:rPr>
        <w:t xml:space="preserve"> for </w:t>
      </w:r>
      <w:proofErr w:type="spellStart"/>
      <w:r w:rsidR="00793B74" w:rsidRPr="00BE3F3D">
        <w:rPr>
          <w:rFonts w:ascii="Times New Roman" w:hAnsi="Times New Roman" w:cs="Times New Roman"/>
        </w:rPr>
        <w:t>cwb</w:t>
      </w:r>
      <w:proofErr w:type="spellEnd"/>
    </w:p>
    <w:p w14:paraId="0000DF7F" w14:textId="77777777" w:rsidR="009114EA" w:rsidRPr="00BE3F3D" w:rsidRDefault="009114EA" w:rsidP="005A4C87">
      <w:pPr>
        <w:jc w:val="both"/>
        <w:rPr>
          <w:rFonts w:ascii="Times New Roman" w:hAnsi="Times New Roman" w:cs="Times New Roman"/>
        </w:rPr>
      </w:pPr>
    </w:p>
    <w:p w14:paraId="1CBD51A9" w14:textId="72031806" w:rsidR="00793B74" w:rsidRPr="00BE3F3D" w:rsidRDefault="00793B74" w:rsidP="00793B74">
      <w:pPr>
        <w:pStyle w:val="ListParagraph"/>
        <w:numPr>
          <w:ilvl w:val="0"/>
          <w:numId w:val="3"/>
        </w:numPr>
        <w:jc w:val="both"/>
        <w:rPr>
          <w:rFonts w:ascii="Times New Roman" w:hAnsi="Times New Roman" w:cs="Times New Roman"/>
        </w:rPr>
      </w:pPr>
      <w:r w:rsidRPr="00BE3F3D">
        <w:rPr>
          <w:rFonts w:ascii="Times New Roman" w:hAnsi="Times New Roman" w:cs="Times New Roman"/>
        </w:rPr>
        <w:t>ANZ bank financial wellbeing</w:t>
      </w:r>
    </w:p>
    <w:p w14:paraId="30C031F9" w14:textId="0899363A" w:rsidR="00793B74" w:rsidRPr="00BE3F3D" w:rsidRDefault="00793B74" w:rsidP="00793B74">
      <w:pPr>
        <w:jc w:val="both"/>
        <w:rPr>
          <w:rFonts w:ascii="Times New Roman" w:hAnsi="Times New Roman" w:cs="Times New Roman"/>
        </w:rPr>
      </w:pPr>
      <w:proofErr w:type="gramStart"/>
      <w:r w:rsidRPr="00BE3F3D">
        <w:rPr>
          <w:rFonts w:ascii="Times New Roman" w:hAnsi="Times New Roman" w:cs="Times New Roman"/>
        </w:rPr>
        <w:lastRenderedPageBreak/>
        <w:t>Link :</w:t>
      </w:r>
      <w:proofErr w:type="gramEnd"/>
      <w:r w:rsidRPr="00BE3F3D">
        <w:rPr>
          <w:rFonts w:ascii="Times New Roman" w:hAnsi="Times New Roman" w:cs="Times New Roman"/>
        </w:rPr>
        <w:t xml:space="preserve"> </w:t>
      </w:r>
      <w:hyperlink r:id="rId9" w:history="1">
        <w:r w:rsidR="00B95F6E" w:rsidRPr="00BE3F3D">
          <w:rPr>
            <w:rStyle w:val="Hyperlink"/>
            <w:rFonts w:ascii="Times New Roman" w:hAnsi="Times New Roman" w:cs="Times New Roman"/>
          </w:rPr>
          <w:t>Financial wellbeing | ANZ</w:t>
        </w:r>
      </w:hyperlink>
      <w:r w:rsidR="00535653" w:rsidRPr="00BE3F3D">
        <w:rPr>
          <w:rFonts w:ascii="Times New Roman" w:hAnsi="Times New Roman" w:cs="Times New Roman"/>
        </w:rPr>
        <w:t xml:space="preserve"> </w:t>
      </w:r>
    </w:p>
    <w:p w14:paraId="29C9EC23" w14:textId="3C229D84" w:rsidR="00793B74" w:rsidRPr="00BE3F3D" w:rsidRDefault="00793B74" w:rsidP="00793B74">
      <w:pPr>
        <w:jc w:val="both"/>
        <w:rPr>
          <w:rFonts w:ascii="Times New Roman" w:hAnsi="Times New Roman" w:cs="Times New Roman"/>
        </w:rPr>
      </w:pPr>
      <w:r w:rsidRPr="00BE3F3D">
        <w:rPr>
          <w:rFonts w:ascii="Times New Roman" w:hAnsi="Times New Roman" w:cs="Times New Roman"/>
        </w:rPr>
        <w:drawing>
          <wp:inline distT="0" distB="0" distL="0" distR="0" wp14:anchorId="1701AC72" wp14:editId="6D1AEDB2">
            <wp:extent cx="5731510" cy="3584575"/>
            <wp:effectExtent l="0" t="0" r="2540" b="0"/>
            <wp:docPr id="88365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50053" name=""/>
                    <pic:cNvPicPr/>
                  </pic:nvPicPr>
                  <pic:blipFill>
                    <a:blip r:embed="rId10"/>
                    <a:stretch>
                      <a:fillRect/>
                    </a:stretch>
                  </pic:blipFill>
                  <pic:spPr>
                    <a:xfrm>
                      <a:off x="0" y="0"/>
                      <a:ext cx="5731510" cy="3584575"/>
                    </a:xfrm>
                    <a:prstGeom prst="rect">
                      <a:avLst/>
                    </a:prstGeom>
                  </pic:spPr>
                </pic:pic>
              </a:graphicData>
            </a:graphic>
          </wp:inline>
        </w:drawing>
      </w:r>
    </w:p>
    <w:p w14:paraId="358DFD66" w14:textId="79EE00BC" w:rsidR="00793B74" w:rsidRPr="00BE3F3D" w:rsidRDefault="00793B74" w:rsidP="00793B74">
      <w:pPr>
        <w:jc w:val="both"/>
        <w:rPr>
          <w:rFonts w:ascii="Times New Roman" w:hAnsi="Times New Roman" w:cs="Times New Roman"/>
        </w:rPr>
      </w:pPr>
      <w:r w:rsidRPr="00BE3F3D">
        <w:rPr>
          <w:rFonts w:ascii="Times New Roman" w:hAnsi="Times New Roman" w:cs="Times New Roman"/>
        </w:rPr>
        <w:t>Figure 3. home page of financial wellbeing for ANZ bank.</w:t>
      </w:r>
    </w:p>
    <w:p w14:paraId="253693A1" w14:textId="77777777" w:rsidR="00793B74" w:rsidRPr="00BE3F3D" w:rsidRDefault="00793B74" w:rsidP="00793B74">
      <w:pPr>
        <w:jc w:val="both"/>
        <w:rPr>
          <w:rFonts w:ascii="Times New Roman" w:hAnsi="Times New Roman" w:cs="Times New Roman"/>
        </w:rPr>
      </w:pPr>
    </w:p>
    <w:p w14:paraId="70C35A78" w14:textId="3BA7889C" w:rsidR="00F61739" w:rsidRPr="00BE3F3D" w:rsidRDefault="006C7009" w:rsidP="006C7009">
      <w:pPr>
        <w:pStyle w:val="ListParagraph"/>
        <w:numPr>
          <w:ilvl w:val="0"/>
          <w:numId w:val="3"/>
        </w:numPr>
        <w:jc w:val="both"/>
        <w:rPr>
          <w:rFonts w:ascii="Times New Roman" w:hAnsi="Times New Roman" w:cs="Times New Roman"/>
        </w:rPr>
      </w:pPr>
      <w:r w:rsidRPr="00BE3F3D">
        <w:rPr>
          <w:rFonts w:ascii="Times New Roman" w:hAnsi="Times New Roman" w:cs="Times New Roman"/>
        </w:rPr>
        <w:t>National Australia Bank (NAB)</w:t>
      </w:r>
    </w:p>
    <w:p w14:paraId="53A9A65A" w14:textId="1A6A88F7" w:rsidR="006C7009" w:rsidRPr="00BE3F3D" w:rsidRDefault="006C7009" w:rsidP="006C7009">
      <w:pPr>
        <w:jc w:val="both"/>
        <w:rPr>
          <w:rFonts w:ascii="Times New Roman" w:hAnsi="Times New Roman" w:cs="Times New Roman"/>
        </w:rPr>
      </w:pPr>
      <w:r w:rsidRPr="00BE3F3D">
        <w:rPr>
          <w:rFonts w:ascii="Times New Roman" w:hAnsi="Times New Roman" w:cs="Times New Roman"/>
        </w:rPr>
        <w:t>Link:</w:t>
      </w:r>
      <w:r w:rsidR="00B95F6E" w:rsidRPr="00BE3F3D">
        <w:rPr>
          <w:rFonts w:ascii="Times New Roman" w:hAnsi="Times New Roman" w:cs="Times New Roman"/>
        </w:rPr>
        <w:t xml:space="preserve"> </w:t>
      </w:r>
      <w:hyperlink r:id="rId11" w:history="1">
        <w:r w:rsidR="00B95F6E" w:rsidRPr="00BE3F3D">
          <w:rPr>
            <w:rStyle w:val="Hyperlink"/>
            <w:rFonts w:ascii="Times New Roman" w:hAnsi="Times New Roman" w:cs="Times New Roman"/>
          </w:rPr>
          <w:t>Practical support to improve your financial wellbeing - NAB</w:t>
        </w:r>
      </w:hyperlink>
    </w:p>
    <w:p w14:paraId="2AAA2928" w14:textId="79781963" w:rsidR="006C7009" w:rsidRPr="00BE3F3D" w:rsidRDefault="006C7009" w:rsidP="006C7009">
      <w:pPr>
        <w:jc w:val="both"/>
        <w:rPr>
          <w:rFonts w:ascii="Times New Roman" w:hAnsi="Times New Roman" w:cs="Times New Roman"/>
        </w:rPr>
      </w:pPr>
      <w:r w:rsidRPr="00BE3F3D">
        <w:rPr>
          <w:rFonts w:ascii="Times New Roman" w:hAnsi="Times New Roman" w:cs="Times New Roman"/>
        </w:rPr>
        <w:drawing>
          <wp:inline distT="0" distB="0" distL="0" distR="0" wp14:anchorId="0F72DBBC" wp14:editId="2A839BFF">
            <wp:extent cx="5731510" cy="2891790"/>
            <wp:effectExtent l="0" t="0" r="2540" b="3810"/>
            <wp:docPr id="186499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91895" name=""/>
                    <pic:cNvPicPr/>
                  </pic:nvPicPr>
                  <pic:blipFill>
                    <a:blip r:embed="rId12"/>
                    <a:stretch>
                      <a:fillRect/>
                    </a:stretch>
                  </pic:blipFill>
                  <pic:spPr>
                    <a:xfrm>
                      <a:off x="0" y="0"/>
                      <a:ext cx="5731510" cy="2891790"/>
                    </a:xfrm>
                    <a:prstGeom prst="rect">
                      <a:avLst/>
                    </a:prstGeom>
                  </pic:spPr>
                </pic:pic>
              </a:graphicData>
            </a:graphic>
          </wp:inline>
        </w:drawing>
      </w:r>
    </w:p>
    <w:p w14:paraId="3C299289" w14:textId="6A66256B" w:rsidR="006C7009" w:rsidRPr="00BE3F3D" w:rsidRDefault="006C7009" w:rsidP="006C7009">
      <w:pPr>
        <w:jc w:val="both"/>
        <w:rPr>
          <w:rFonts w:ascii="Times New Roman" w:hAnsi="Times New Roman" w:cs="Times New Roman"/>
        </w:rPr>
      </w:pPr>
      <w:r w:rsidRPr="00BE3F3D">
        <w:rPr>
          <w:rFonts w:ascii="Times New Roman" w:hAnsi="Times New Roman" w:cs="Times New Roman"/>
        </w:rPr>
        <w:t xml:space="preserve">Figure 4. home page of financial wellbeing for </w:t>
      </w:r>
      <w:proofErr w:type="gramStart"/>
      <w:r w:rsidRPr="00BE3F3D">
        <w:rPr>
          <w:rFonts w:ascii="Times New Roman" w:hAnsi="Times New Roman" w:cs="Times New Roman"/>
        </w:rPr>
        <w:t>NAB</w:t>
      </w:r>
      <w:proofErr w:type="gramEnd"/>
    </w:p>
    <w:p w14:paraId="4F795EF9" w14:textId="0B726A4F" w:rsidR="006C7009" w:rsidRPr="00BE3F3D" w:rsidRDefault="006C7009" w:rsidP="006C7009">
      <w:pPr>
        <w:jc w:val="both"/>
        <w:rPr>
          <w:rFonts w:ascii="Times New Roman" w:hAnsi="Times New Roman" w:cs="Times New Roman"/>
        </w:rPr>
      </w:pPr>
      <w:r w:rsidRPr="00BE3F3D">
        <w:rPr>
          <w:rFonts w:ascii="Times New Roman" w:hAnsi="Times New Roman" w:cs="Times New Roman"/>
        </w:rPr>
        <w:lastRenderedPageBreak/>
        <w:drawing>
          <wp:inline distT="0" distB="0" distL="0" distR="0" wp14:anchorId="3F650CA0" wp14:editId="71111151">
            <wp:extent cx="5234940" cy="4917688"/>
            <wp:effectExtent l="0" t="0" r="3810" b="0"/>
            <wp:docPr id="1812395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9564" name="Picture 1" descr="A screenshot of a computer screen&#10;&#10;Description automatically generated"/>
                    <pic:cNvPicPr/>
                  </pic:nvPicPr>
                  <pic:blipFill>
                    <a:blip r:embed="rId13"/>
                    <a:stretch>
                      <a:fillRect/>
                    </a:stretch>
                  </pic:blipFill>
                  <pic:spPr>
                    <a:xfrm>
                      <a:off x="0" y="0"/>
                      <a:ext cx="5236853" cy="4919485"/>
                    </a:xfrm>
                    <a:prstGeom prst="rect">
                      <a:avLst/>
                    </a:prstGeom>
                  </pic:spPr>
                </pic:pic>
              </a:graphicData>
            </a:graphic>
          </wp:inline>
        </w:drawing>
      </w:r>
    </w:p>
    <w:p w14:paraId="08734992" w14:textId="4762E6D2" w:rsidR="006C7009" w:rsidRPr="00BE3F3D" w:rsidRDefault="006C7009" w:rsidP="006C7009">
      <w:pPr>
        <w:jc w:val="both"/>
        <w:rPr>
          <w:rFonts w:ascii="Times New Roman" w:hAnsi="Times New Roman" w:cs="Times New Roman"/>
        </w:rPr>
      </w:pPr>
      <w:r w:rsidRPr="00BE3F3D">
        <w:rPr>
          <w:rFonts w:ascii="Times New Roman" w:hAnsi="Times New Roman" w:cs="Times New Roman"/>
        </w:rPr>
        <w:t>Figure 5. chatbot feature of NAB.</w:t>
      </w:r>
    </w:p>
    <w:p w14:paraId="0C69D237" w14:textId="77777777" w:rsidR="007267A6" w:rsidRPr="00BE3F3D" w:rsidRDefault="007267A6" w:rsidP="006C7009">
      <w:pPr>
        <w:jc w:val="both"/>
        <w:rPr>
          <w:rFonts w:ascii="Times New Roman" w:hAnsi="Times New Roman" w:cs="Times New Roman"/>
        </w:rPr>
      </w:pPr>
    </w:p>
    <w:p w14:paraId="1C71743A" w14:textId="0B490A43" w:rsidR="007267A6" w:rsidRPr="00BE3F3D" w:rsidRDefault="007267A6" w:rsidP="007267A6">
      <w:pPr>
        <w:pStyle w:val="ListParagraph"/>
        <w:numPr>
          <w:ilvl w:val="0"/>
          <w:numId w:val="2"/>
        </w:numPr>
        <w:jc w:val="both"/>
        <w:rPr>
          <w:rFonts w:ascii="Times New Roman" w:hAnsi="Times New Roman" w:cs="Times New Roman"/>
          <w:b/>
          <w:bCs/>
        </w:rPr>
      </w:pPr>
      <w:r w:rsidRPr="00BE3F3D">
        <w:rPr>
          <w:rFonts w:ascii="Times New Roman" w:hAnsi="Times New Roman" w:cs="Times New Roman"/>
          <w:b/>
          <w:bCs/>
        </w:rPr>
        <w:t xml:space="preserve">Gaps </w:t>
      </w:r>
      <w:proofErr w:type="gramStart"/>
      <w:r w:rsidRPr="00BE3F3D">
        <w:rPr>
          <w:rFonts w:ascii="Times New Roman" w:hAnsi="Times New Roman" w:cs="Times New Roman"/>
          <w:b/>
          <w:bCs/>
        </w:rPr>
        <w:t>identified</w:t>
      </w:r>
      <w:proofErr w:type="gramEnd"/>
      <w:r w:rsidRPr="00BE3F3D">
        <w:rPr>
          <w:rFonts w:ascii="Times New Roman" w:hAnsi="Times New Roman" w:cs="Times New Roman"/>
          <w:b/>
          <w:bCs/>
        </w:rPr>
        <w:t xml:space="preserve"> </w:t>
      </w:r>
    </w:p>
    <w:p w14:paraId="7A3B0ADB" w14:textId="6F1ED1F7" w:rsidR="0063440F" w:rsidRPr="00BE3F3D" w:rsidRDefault="00A6475F" w:rsidP="006C7009">
      <w:pPr>
        <w:jc w:val="both"/>
        <w:rPr>
          <w:rFonts w:ascii="Times New Roman" w:hAnsi="Times New Roman" w:cs="Times New Roman"/>
        </w:rPr>
      </w:pPr>
      <w:r w:rsidRPr="00BE3F3D">
        <w:rPr>
          <w:rFonts w:ascii="Times New Roman" w:hAnsi="Times New Roman" w:cs="Times New Roman"/>
        </w:rPr>
        <w:t>Upon reviewing the features provided by the banks, gaps have been identified that are outlined in the table below. It details the availability of specific financial wellbeing features across CBA, ANZ, and NAB, and highlights the corresponding opportunities for DolFin to enhance its service</w:t>
      </w:r>
      <w:r w:rsidRPr="00BE3F3D">
        <w:rPr>
          <w:rFonts w:ascii="Times New Roman" w:hAnsi="Times New Roman" w:cs="Times New Roman"/>
        </w:rPr>
        <w:t>.</w:t>
      </w:r>
    </w:p>
    <w:p w14:paraId="52573C1F" w14:textId="0C98E550" w:rsidR="008D3954" w:rsidRPr="00BE3F3D" w:rsidRDefault="008D3954" w:rsidP="006C7009">
      <w:pPr>
        <w:jc w:val="both"/>
        <w:rPr>
          <w:rFonts w:ascii="Times New Roman" w:hAnsi="Times New Roman" w:cs="Times New Roman"/>
        </w:rPr>
      </w:pPr>
      <w:r w:rsidRPr="00BE3F3D">
        <w:rPr>
          <w:rFonts w:ascii="Times New Roman" w:hAnsi="Times New Roman" w:cs="Times New Roman"/>
        </w:rPr>
        <w:t xml:space="preserve">Table 3. </w:t>
      </w:r>
      <w:r w:rsidRPr="00BE3F3D">
        <w:rPr>
          <w:rFonts w:ascii="Times New Roman" w:hAnsi="Times New Roman" w:cs="Times New Roman"/>
        </w:rPr>
        <w:t>Comparative Analysis of Financial Wellbeing Features and Enhancement Opportunities for DolFin</w:t>
      </w:r>
    </w:p>
    <w:tbl>
      <w:tblPr>
        <w:tblStyle w:val="GridTable5Dark-Accent1"/>
        <w:tblW w:w="9534" w:type="dxa"/>
        <w:tblLook w:val="04A0" w:firstRow="1" w:lastRow="0" w:firstColumn="1" w:lastColumn="0" w:noHBand="0" w:noVBand="1"/>
      </w:tblPr>
      <w:tblGrid>
        <w:gridCol w:w="1695"/>
        <w:gridCol w:w="1419"/>
        <w:gridCol w:w="1559"/>
        <w:gridCol w:w="1734"/>
        <w:gridCol w:w="3127"/>
      </w:tblGrid>
      <w:tr w:rsidR="008D3954" w:rsidRPr="00BE3F3D" w14:paraId="7C7811A6" w14:textId="77777777" w:rsidTr="00726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hideMark/>
          </w:tcPr>
          <w:p w14:paraId="28C9A279" w14:textId="77777777" w:rsidR="00C27CDB" w:rsidRPr="00C27CDB" w:rsidRDefault="00C27CDB" w:rsidP="00C27CDB">
            <w:pPr>
              <w:jc w:val="both"/>
              <w:rPr>
                <w:rFonts w:ascii="Times New Roman" w:hAnsi="Times New Roman" w:cs="Times New Roman"/>
                <w:b/>
                <w:bCs/>
                <w:color w:val="FFFFFF" w:themeColor="background1"/>
              </w:rPr>
            </w:pPr>
            <w:r w:rsidRPr="00C27CDB">
              <w:rPr>
                <w:rFonts w:ascii="Times New Roman" w:hAnsi="Times New Roman" w:cs="Times New Roman"/>
                <w:b/>
                <w:bCs/>
                <w:color w:val="FFFFFF" w:themeColor="background1"/>
              </w:rPr>
              <w:t>Feature Category</w:t>
            </w:r>
          </w:p>
        </w:tc>
        <w:tc>
          <w:tcPr>
            <w:tcW w:w="1419" w:type="dxa"/>
            <w:hideMark/>
          </w:tcPr>
          <w:p w14:paraId="5A6ABF8B" w14:textId="77777777" w:rsidR="00C27CDB" w:rsidRPr="00C27CDB" w:rsidRDefault="00C27CDB" w:rsidP="00C27CDB">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CBA</w:t>
            </w:r>
          </w:p>
        </w:tc>
        <w:tc>
          <w:tcPr>
            <w:tcW w:w="1559" w:type="dxa"/>
            <w:hideMark/>
          </w:tcPr>
          <w:p w14:paraId="4C430B31" w14:textId="77777777" w:rsidR="00C27CDB" w:rsidRPr="00C27CDB" w:rsidRDefault="00C27CDB" w:rsidP="00C27CDB">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ANZ</w:t>
            </w:r>
          </w:p>
        </w:tc>
        <w:tc>
          <w:tcPr>
            <w:tcW w:w="1734" w:type="dxa"/>
            <w:hideMark/>
          </w:tcPr>
          <w:p w14:paraId="43112C85" w14:textId="77777777" w:rsidR="00C27CDB" w:rsidRPr="00C27CDB" w:rsidRDefault="00C27CDB" w:rsidP="00C27CDB">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NAB</w:t>
            </w:r>
          </w:p>
        </w:tc>
        <w:tc>
          <w:tcPr>
            <w:tcW w:w="0" w:type="auto"/>
            <w:hideMark/>
          </w:tcPr>
          <w:p w14:paraId="04E5BC5E" w14:textId="77777777" w:rsidR="00C27CDB" w:rsidRPr="00C27CDB" w:rsidRDefault="00C27CDB" w:rsidP="00C27CDB">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DolFin Opportunity</w:t>
            </w:r>
          </w:p>
        </w:tc>
      </w:tr>
      <w:tr w:rsidR="008D3954" w:rsidRPr="00BE3F3D" w14:paraId="2C94340E" w14:textId="77777777" w:rsidTr="00726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hideMark/>
          </w:tcPr>
          <w:p w14:paraId="254A13A7" w14:textId="77777777" w:rsidR="00C27CDB" w:rsidRPr="00C27CDB" w:rsidRDefault="00C27CDB" w:rsidP="00C27CDB">
            <w:pPr>
              <w:spacing w:after="160" w:line="278" w:lineRule="auto"/>
              <w:jc w:val="both"/>
              <w:rPr>
                <w:rFonts w:ascii="Times New Roman" w:hAnsi="Times New Roman" w:cs="Times New Roman"/>
              </w:rPr>
            </w:pPr>
            <w:r w:rsidRPr="00C27CDB">
              <w:rPr>
                <w:rFonts w:ascii="Times New Roman" w:hAnsi="Times New Roman" w:cs="Times New Roman"/>
              </w:rPr>
              <w:t>Survey Accessibility and Engagement</w:t>
            </w:r>
          </w:p>
        </w:tc>
        <w:tc>
          <w:tcPr>
            <w:tcW w:w="1419" w:type="dxa"/>
            <w:hideMark/>
          </w:tcPr>
          <w:p w14:paraId="25E0BB5F" w14:textId="77777777" w:rsidR="00C27CDB" w:rsidRPr="00C27CDB" w:rsidRDefault="00C27CDB" w:rsidP="00C27C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Yes (direct survey on the page)</w:t>
            </w:r>
          </w:p>
        </w:tc>
        <w:tc>
          <w:tcPr>
            <w:tcW w:w="1559" w:type="dxa"/>
            <w:hideMark/>
          </w:tcPr>
          <w:p w14:paraId="3980ECDA" w14:textId="77777777" w:rsidR="00C27CDB" w:rsidRPr="00C27CDB" w:rsidRDefault="00C27CDB" w:rsidP="00C27C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No (lacks interactive survey)</w:t>
            </w:r>
          </w:p>
        </w:tc>
        <w:tc>
          <w:tcPr>
            <w:tcW w:w="1734" w:type="dxa"/>
            <w:hideMark/>
          </w:tcPr>
          <w:p w14:paraId="220B29A9" w14:textId="77777777" w:rsidR="00C27CDB" w:rsidRPr="00C27CDB" w:rsidRDefault="00C27CDB" w:rsidP="00C27C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No (lacks interactive survey)</w:t>
            </w:r>
          </w:p>
        </w:tc>
        <w:tc>
          <w:tcPr>
            <w:tcW w:w="0" w:type="auto"/>
            <w:hideMark/>
          </w:tcPr>
          <w:p w14:paraId="2149F04B" w14:textId="77777777" w:rsidR="00C27CDB" w:rsidRPr="00C27CDB" w:rsidRDefault="00C27CDB" w:rsidP="00C27C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Implement an interactive financial wellbeing survey to engage users and provide personalized insights.</w:t>
            </w:r>
          </w:p>
        </w:tc>
      </w:tr>
      <w:tr w:rsidR="008D3954" w:rsidRPr="00BE3F3D" w14:paraId="57E73229" w14:textId="77777777" w:rsidTr="007267A6">
        <w:tc>
          <w:tcPr>
            <w:cnfStyle w:val="001000000000" w:firstRow="0" w:lastRow="0" w:firstColumn="1" w:lastColumn="0" w:oddVBand="0" w:evenVBand="0" w:oddHBand="0" w:evenHBand="0" w:firstRowFirstColumn="0" w:firstRowLastColumn="0" w:lastRowFirstColumn="0" w:lastRowLastColumn="0"/>
            <w:tcW w:w="1695" w:type="dxa"/>
            <w:hideMark/>
          </w:tcPr>
          <w:p w14:paraId="4C9DC983" w14:textId="77777777" w:rsidR="00C27CDB" w:rsidRPr="00C27CDB" w:rsidRDefault="00C27CDB" w:rsidP="00C27CDB">
            <w:pPr>
              <w:jc w:val="both"/>
              <w:rPr>
                <w:rFonts w:ascii="Times New Roman" w:hAnsi="Times New Roman" w:cs="Times New Roman"/>
                <w:color w:val="FFFFFF" w:themeColor="background1"/>
              </w:rPr>
            </w:pPr>
            <w:r w:rsidRPr="00C27CDB">
              <w:rPr>
                <w:rFonts w:ascii="Times New Roman" w:hAnsi="Times New Roman" w:cs="Times New Roman"/>
                <w:b/>
                <w:bCs/>
                <w:color w:val="FFFFFF" w:themeColor="background1"/>
              </w:rPr>
              <w:lastRenderedPageBreak/>
              <w:t>Chatbot for Immediate Assistance</w:t>
            </w:r>
          </w:p>
        </w:tc>
        <w:tc>
          <w:tcPr>
            <w:tcW w:w="1419" w:type="dxa"/>
            <w:shd w:val="clear" w:color="auto" w:fill="auto"/>
            <w:hideMark/>
          </w:tcPr>
          <w:p w14:paraId="5C488AEB" w14:textId="77777777" w:rsidR="00C27CDB" w:rsidRPr="00C27CDB" w:rsidRDefault="00C27CDB" w:rsidP="00C27C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No (lacks chatbot)</w:t>
            </w:r>
          </w:p>
        </w:tc>
        <w:tc>
          <w:tcPr>
            <w:tcW w:w="1559" w:type="dxa"/>
            <w:shd w:val="clear" w:color="auto" w:fill="auto"/>
            <w:hideMark/>
          </w:tcPr>
          <w:p w14:paraId="66063B86" w14:textId="77777777" w:rsidR="00C27CDB" w:rsidRPr="00C27CDB" w:rsidRDefault="00C27CDB" w:rsidP="00C27C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No (lacks chatbot)</w:t>
            </w:r>
          </w:p>
        </w:tc>
        <w:tc>
          <w:tcPr>
            <w:tcW w:w="1734" w:type="dxa"/>
            <w:shd w:val="clear" w:color="auto" w:fill="auto"/>
            <w:hideMark/>
          </w:tcPr>
          <w:p w14:paraId="182681F0" w14:textId="77777777" w:rsidR="00C27CDB" w:rsidRPr="00C27CDB" w:rsidRDefault="00C27CDB" w:rsidP="00C27C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Yes (features a chatbot)</w:t>
            </w:r>
          </w:p>
        </w:tc>
        <w:tc>
          <w:tcPr>
            <w:tcW w:w="0" w:type="auto"/>
            <w:shd w:val="clear" w:color="auto" w:fill="auto"/>
            <w:hideMark/>
          </w:tcPr>
          <w:p w14:paraId="18538A23" w14:textId="77777777" w:rsidR="00C27CDB" w:rsidRPr="00C27CDB" w:rsidRDefault="00C27CDB" w:rsidP="00C27C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Introduce a chatbot to provide real-time financial assistance and guide users through the platform.</w:t>
            </w:r>
          </w:p>
        </w:tc>
      </w:tr>
      <w:tr w:rsidR="008D3954" w:rsidRPr="00BE3F3D" w14:paraId="5BAD0EF6" w14:textId="77777777" w:rsidTr="00726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hideMark/>
          </w:tcPr>
          <w:p w14:paraId="5B7C39BE" w14:textId="77777777" w:rsidR="00C27CDB" w:rsidRPr="00C27CDB" w:rsidRDefault="00C27CDB" w:rsidP="00C27CDB">
            <w:pPr>
              <w:jc w:val="both"/>
              <w:rPr>
                <w:rFonts w:ascii="Times New Roman" w:hAnsi="Times New Roman" w:cs="Times New Roman"/>
                <w:color w:val="FFFFFF" w:themeColor="background1"/>
              </w:rPr>
            </w:pPr>
            <w:r w:rsidRPr="00C27CDB">
              <w:rPr>
                <w:rFonts w:ascii="Times New Roman" w:hAnsi="Times New Roman" w:cs="Times New Roman"/>
                <w:b/>
                <w:bCs/>
                <w:color w:val="FFFFFF" w:themeColor="background1"/>
              </w:rPr>
              <w:t>Educational Resources and Action Plans</w:t>
            </w:r>
          </w:p>
        </w:tc>
        <w:tc>
          <w:tcPr>
            <w:tcW w:w="1419" w:type="dxa"/>
            <w:hideMark/>
          </w:tcPr>
          <w:p w14:paraId="47C0089D" w14:textId="77777777" w:rsidR="00C27CDB" w:rsidRPr="00C27CDB" w:rsidRDefault="00C27CDB" w:rsidP="00C27C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Unclear</w:t>
            </w:r>
          </w:p>
        </w:tc>
        <w:tc>
          <w:tcPr>
            <w:tcW w:w="1559" w:type="dxa"/>
            <w:hideMark/>
          </w:tcPr>
          <w:p w14:paraId="2D1739AA" w14:textId="77777777" w:rsidR="00C27CDB" w:rsidRPr="00C27CDB" w:rsidRDefault="00C27CDB" w:rsidP="00C27C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Yes (focuses on academic research and action plans)</w:t>
            </w:r>
          </w:p>
        </w:tc>
        <w:tc>
          <w:tcPr>
            <w:tcW w:w="1734" w:type="dxa"/>
            <w:hideMark/>
          </w:tcPr>
          <w:p w14:paraId="6F0C054C" w14:textId="77777777" w:rsidR="00C27CDB" w:rsidRPr="00C27CDB" w:rsidRDefault="00C27CDB" w:rsidP="00C27C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Unclear</w:t>
            </w:r>
          </w:p>
        </w:tc>
        <w:tc>
          <w:tcPr>
            <w:tcW w:w="0" w:type="auto"/>
            <w:hideMark/>
          </w:tcPr>
          <w:p w14:paraId="3B342CF2" w14:textId="77777777" w:rsidR="00C27CDB" w:rsidRPr="00C27CDB" w:rsidRDefault="00C27CDB" w:rsidP="00C27C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Develop in-depth educational materials and clear action plans to enhance financial literacy and health.</w:t>
            </w:r>
          </w:p>
        </w:tc>
      </w:tr>
      <w:tr w:rsidR="008D3954" w:rsidRPr="00BE3F3D" w14:paraId="364045DA" w14:textId="77777777" w:rsidTr="007267A6">
        <w:tc>
          <w:tcPr>
            <w:cnfStyle w:val="001000000000" w:firstRow="0" w:lastRow="0" w:firstColumn="1" w:lastColumn="0" w:oddVBand="0" w:evenVBand="0" w:oddHBand="0" w:evenHBand="0" w:firstRowFirstColumn="0" w:firstRowLastColumn="0" w:lastRowFirstColumn="0" w:lastRowLastColumn="0"/>
            <w:tcW w:w="1695" w:type="dxa"/>
            <w:hideMark/>
          </w:tcPr>
          <w:p w14:paraId="1923E569" w14:textId="77777777" w:rsidR="00C27CDB" w:rsidRPr="00C27CDB" w:rsidRDefault="00C27CDB" w:rsidP="00C27CDB">
            <w:pPr>
              <w:jc w:val="both"/>
              <w:rPr>
                <w:rFonts w:ascii="Times New Roman" w:hAnsi="Times New Roman" w:cs="Times New Roman"/>
                <w:color w:val="FFFFFF" w:themeColor="background1"/>
              </w:rPr>
            </w:pPr>
            <w:r w:rsidRPr="00C27CDB">
              <w:rPr>
                <w:rFonts w:ascii="Times New Roman" w:hAnsi="Times New Roman" w:cs="Times New Roman"/>
                <w:b/>
                <w:bCs/>
                <w:color w:val="FFFFFF" w:themeColor="background1"/>
              </w:rPr>
              <w:t>Tools for Financial Management</w:t>
            </w:r>
          </w:p>
        </w:tc>
        <w:tc>
          <w:tcPr>
            <w:tcW w:w="1419" w:type="dxa"/>
            <w:hideMark/>
          </w:tcPr>
          <w:p w14:paraId="1124B228" w14:textId="77777777" w:rsidR="00C27CDB" w:rsidRPr="00C27CDB" w:rsidRDefault="00C27CDB" w:rsidP="00C27C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Unclear</w:t>
            </w:r>
          </w:p>
        </w:tc>
        <w:tc>
          <w:tcPr>
            <w:tcW w:w="1559" w:type="dxa"/>
            <w:hideMark/>
          </w:tcPr>
          <w:p w14:paraId="47D3672C" w14:textId="77777777" w:rsidR="00C27CDB" w:rsidRPr="00C27CDB" w:rsidRDefault="00C27CDB" w:rsidP="00C27C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No (lacks prominent tools)</w:t>
            </w:r>
          </w:p>
        </w:tc>
        <w:tc>
          <w:tcPr>
            <w:tcW w:w="1734" w:type="dxa"/>
            <w:hideMark/>
          </w:tcPr>
          <w:p w14:paraId="1429D722" w14:textId="77777777" w:rsidR="00C27CDB" w:rsidRPr="00C27CDB" w:rsidRDefault="00C27CDB" w:rsidP="00C27C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Yes (offers expense tracking and budget planning)</w:t>
            </w:r>
          </w:p>
        </w:tc>
        <w:tc>
          <w:tcPr>
            <w:tcW w:w="0" w:type="auto"/>
            <w:hideMark/>
          </w:tcPr>
          <w:p w14:paraId="242EE628" w14:textId="77777777" w:rsidR="00C27CDB" w:rsidRPr="00C27CDB" w:rsidRDefault="00C27CDB" w:rsidP="00C27C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7CDB">
              <w:rPr>
                <w:rFonts w:ascii="Times New Roman" w:hAnsi="Times New Roman" w:cs="Times New Roman"/>
              </w:rPr>
              <w:t>Create accessible and user-friendly financial management tools like budget planners and expense trackers.</w:t>
            </w:r>
          </w:p>
        </w:tc>
      </w:tr>
    </w:tbl>
    <w:p w14:paraId="4764591F" w14:textId="77777777" w:rsidR="0063440F" w:rsidRDefault="0063440F" w:rsidP="006C7009">
      <w:pPr>
        <w:jc w:val="both"/>
        <w:rPr>
          <w:rFonts w:ascii="Times New Roman" w:hAnsi="Times New Roman" w:cs="Times New Roman"/>
        </w:rPr>
      </w:pPr>
    </w:p>
    <w:p w14:paraId="1650EFC7" w14:textId="77777777" w:rsidR="00D04BDF" w:rsidRPr="00D36C10" w:rsidRDefault="00D04BDF" w:rsidP="006C7009">
      <w:pPr>
        <w:jc w:val="both"/>
        <w:rPr>
          <w:rFonts w:ascii="Times New Roman" w:hAnsi="Times New Roman" w:cs="Times New Roman"/>
          <w:b/>
          <w:bCs/>
        </w:rPr>
      </w:pPr>
    </w:p>
    <w:p w14:paraId="607BCDAF" w14:textId="4EEDDEB6" w:rsidR="00D04BDF" w:rsidRPr="00D36C10" w:rsidRDefault="00D04BDF" w:rsidP="006C7009">
      <w:pPr>
        <w:jc w:val="both"/>
        <w:rPr>
          <w:rFonts w:ascii="Times New Roman" w:hAnsi="Times New Roman" w:cs="Times New Roman"/>
          <w:b/>
          <w:bCs/>
          <w:sz w:val="20"/>
          <w:szCs w:val="20"/>
        </w:rPr>
      </w:pPr>
      <w:r w:rsidRPr="00D36C10">
        <w:rPr>
          <w:rFonts w:ascii="Times New Roman" w:hAnsi="Times New Roman" w:cs="Times New Roman"/>
          <w:b/>
          <w:bCs/>
          <w:sz w:val="20"/>
          <w:szCs w:val="20"/>
        </w:rPr>
        <w:t>Reference</w:t>
      </w:r>
    </w:p>
    <w:p w14:paraId="6A20C0EB" w14:textId="146155B2" w:rsidR="00381C16" w:rsidRPr="00381C16" w:rsidRDefault="00381C16" w:rsidP="00381C16">
      <w:pPr>
        <w:jc w:val="both"/>
        <w:rPr>
          <w:sz w:val="20"/>
          <w:szCs w:val="20"/>
        </w:rPr>
      </w:pPr>
      <w:r w:rsidRPr="00381C16">
        <w:rPr>
          <w:rFonts w:ascii="Times New Roman" w:hAnsi="Times New Roman" w:cs="Times New Roman"/>
          <w:sz w:val="20"/>
          <w:szCs w:val="20"/>
        </w:rPr>
        <w:t xml:space="preserve">[1] </w:t>
      </w:r>
      <w:r w:rsidRPr="00381C16">
        <w:rPr>
          <w:i/>
          <w:iCs/>
          <w:sz w:val="20"/>
          <w:szCs w:val="20"/>
        </w:rPr>
        <w:t>Better understand your financial wellbeing</w:t>
      </w:r>
      <w:r w:rsidRPr="00381C16">
        <w:rPr>
          <w:sz w:val="20"/>
          <w:szCs w:val="20"/>
        </w:rPr>
        <w:t xml:space="preserve"> (no date) </w:t>
      </w:r>
      <w:r w:rsidRPr="00381C16">
        <w:rPr>
          <w:i/>
          <w:iCs/>
          <w:sz w:val="20"/>
          <w:szCs w:val="20"/>
        </w:rPr>
        <w:t>CommBank</w:t>
      </w:r>
      <w:r w:rsidRPr="00381C16">
        <w:rPr>
          <w:sz w:val="20"/>
          <w:szCs w:val="20"/>
        </w:rPr>
        <w:t>. Available at: https://www.commbank.com.au/banking/guidance/find-your-financial-wellbeing-score.html (Accessed: 2</w:t>
      </w:r>
      <w:r>
        <w:rPr>
          <w:sz w:val="20"/>
          <w:szCs w:val="20"/>
        </w:rPr>
        <w:t>0</w:t>
      </w:r>
      <w:r w:rsidRPr="00381C16">
        <w:rPr>
          <w:sz w:val="20"/>
          <w:szCs w:val="20"/>
        </w:rPr>
        <w:t xml:space="preserve"> March 2024). </w:t>
      </w:r>
    </w:p>
    <w:p w14:paraId="70275814" w14:textId="200119D0" w:rsidR="00381C16" w:rsidRPr="00381C16" w:rsidRDefault="00381C16" w:rsidP="00381C16">
      <w:pPr>
        <w:jc w:val="both"/>
        <w:rPr>
          <w:sz w:val="20"/>
          <w:szCs w:val="20"/>
        </w:rPr>
      </w:pPr>
      <w:r w:rsidRPr="00381C16">
        <w:rPr>
          <w:sz w:val="20"/>
          <w:szCs w:val="20"/>
        </w:rPr>
        <w:t xml:space="preserve">[2] </w:t>
      </w:r>
      <w:r w:rsidRPr="00381C16">
        <w:rPr>
          <w:i/>
          <w:iCs/>
          <w:sz w:val="20"/>
          <w:szCs w:val="20"/>
        </w:rPr>
        <w:t>Financial wellbeing</w:t>
      </w:r>
      <w:r w:rsidRPr="00381C16">
        <w:rPr>
          <w:sz w:val="20"/>
          <w:szCs w:val="20"/>
        </w:rPr>
        <w:t xml:space="preserve"> (no date a) </w:t>
      </w:r>
      <w:r w:rsidRPr="00381C16">
        <w:rPr>
          <w:i/>
          <w:iCs/>
          <w:sz w:val="20"/>
          <w:szCs w:val="20"/>
        </w:rPr>
        <w:t>NAB</w:t>
      </w:r>
      <w:r w:rsidRPr="00381C16">
        <w:rPr>
          <w:sz w:val="20"/>
          <w:szCs w:val="20"/>
        </w:rPr>
        <w:t>. Available at: https://www.nab.com.au/help-support/financial-wellbeing (Accessed: 2</w:t>
      </w:r>
      <w:r>
        <w:rPr>
          <w:sz w:val="20"/>
          <w:szCs w:val="20"/>
        </w:rPr>
        <w:t>0</w:t>
      </w:r>
      <w:r w:rsidRPr="00381C16">
        <w:rPr>
          <w:sz w:val="20"/>
          <w:szCs w:val="20"/>
        </w:rPr>
        <w:t xml:space="preserve"> March 2024). </w:t>
      </w:r>
    </w:p>
    <w:p w14:paraId="4AAED605" w14:textId="355CEF2B" w:rsidR="00381C16" w:rsidRPr="00381C16" w:rsidRDefault="00381C16" w:rsidP="00381C16">
      <w:pPr>
        <w:jc w:val="both"/>
        <w:rPr>
          <w:sz w:val="20"/>
          <w:szCs w:val="20"/>
        </w:rPr>
      </w:pPr>
      <w:r w:rsidRPr="00381C16">
        <w:rPr>
          <w:sz w:val="20"/>
          <w:szCs w:val="20"/>
        </w:rPr>
        <w:t xml:space="preserve">[3] </w:t>
      </w:r>
      <w:r w:rsidRPr="00381C16">
        <w:rPr>
          <w:i/>
          <w:iCs/>
          <w:sz w:val="20"/>
          <w:szCs w:val="20"/>
        </w:rPr>
        <w:t>Financial wellbeing</w:t>
      </w:r>
      <w:r w:rsidRPr="00381C16">
        <w:rPr>
          <w:sz w:val="20"/>
          <w:szCs w:val="20"/>
        </w:rPr>
        <w:t xml:space="preserve"> (no date b) </w:t>
      </w:r>
      <w:r w:rsidRPr="00381C16">
        <w:rPr>
          <w:i/>
          <w:iCs/>
          <w:sz w:val="20"/>
          <w:szCs w:val="20"/>
        </w:rPr>
        <w:t>ANZ</w:t>
      </w:r>
      <w:r w:rsidRPr="00381C16">
        <w:rPr>
          <w:sz w:val="20"/>
          <w:szCs w:val="20"/>
        </w:rPr>
        <w:t>. Available at: https://www.anz.com.au/about-us/esg/financial-wellbeing/ (Accessed: 2</w:t>
      </w:r>
      <w:r>
        <w:rPr>
          <w:sz w:val="20"/>
          <w:szCs w:val="20"/>
        </w:rPr>
        <w:t>0</w:t>
      </w:r>
      <w:r w:rsidRPr="00381C16">
        <w:rPr>
          <w:sz w:val="20"/>
          <w:szCs w:val="20"/>
        </w:rPr>
        <w:t xml:space="preserve"> March 2024). </w:t>
      </w:r>
    </w:p>
    <w:p w14:paraId="76F176E4" w14:textId="3055490C" w:rsidR="00381C16" w:rsidRPr="00381C16" w:rsidRDefault="00381C16" w:rsidP="00381C16">
      <w:pPr>
        <w:jc w:val="both"/>
      </w:pPr>
    </w:p>
    <w:p w14:paraId="2521F884" w14:textId="0595EA8A" w:rsidR="00D04BDF" w:rsidRPr="00BE3F3D" w:rsidRDefault="00D04BDF" w:rsidP="006C7009">
      <w:pPr>
        <w:jc w:val="both"/>
        <w:rPr>
          <w:rFonts w:ascii="Times New Roman" w:hAnsi="Times New Roman" w:cs="Times New Roman"/>
        </w:rPr>
      </w:pPr>
    </w:p>
    <w:sectPr w:rsidR="00D04BDF" w:rsidRPr="00BE3F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E7C2C"/>
    <w:multiLevelType w:val="hybridMultilevel"/>
    <w:tmpl w:val="7A3827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A2173FF"/>
    <w:multiLevelType w:val="hybridMultilevel"/>
    <w:tmpl w:val="882A34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77A78E5"/>
    <w:multiLevelType w:val="multilevel"/>
    <w:tmpl w:val="71FC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E254DC"/>
    <w:multiLevelType w:val="multilevel"/>
    <w:tmpl w:val="A042AF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9233458">
    <w:abstractNumId w:val="2"/>
  </w:num>
  <w:num w:numId="2" w16cid:durableId="1345206277">
    <w:abstractNumId w:val="1"/>
  </w:num>
  <w:num w:numId="3" w16cid:durableId="387192537">
    <w:abstractNumId w:val="0"/>
  </w:num>
  <w:num w:numId="4" w16cid:durableId="10432093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5F"/>
    <w:rsid w:val="000A14B9"/>
    <w:rsid w:val="000B241B"/>
    <w:rsid w:val="000B7CFF"/>
    <w:rsid w:val="000C128D"/>
    <w:rsid w:val="000E559A"/>
    <w:rsid w:val="0010106E"/>
    <w:rsid w:val="00133838"/>
    <w:rsid w:val="00212B29"/>
    <w:rsid w:val="003348EB"/>
    <w:rsid w:val="00381C16"/>
    <w:rsid w:val="00466D8B"/>
    <w:rsid w:val="00535653"/>
    <w:rsid w:val="005A4C87"/>
    <w:rsid w:val="0063440F"/>
    <w:rsid w:val="006351EC"/>
    <w:rsid w:val="00672098"/>
    <w:rsid w:val="0069275E"/>
    <w:rsid w:val="006C7009"/>
    <w:rsid w:val="007267A6"/>
    <w:rsid w:val="00793B74"/>
    <w:rsid w:val="00836F77"/>
    <w:rsid w:val="00864EDD"/>
    <w:rsid w:val="008D3954"/>
    <w:rsid w:val="009114EA"/>
    <w:rsid w:val="00A6475F"/>
    <w:rsid w:val="00A72CD3"/>
    <w:rsid w:val="00A77B5F"/>
    <w:rsid w:val="00A91C22"/>
    <w:rsid w:val="00AA669C"/>
    <w:rsid w:val="00B50F02"/>
    <w:rsid w:val="00B95F6E"/>
    <w:rsid w:val="00BE3F3D"/>
    <w:rsid w:val="00C27CDB"/>
    <w:rsid w:val="00D04BDF"/>
    <w:rsid w:val="00D36C10"/>
    <w:rsid w:val="00DA4BB6"/>
    <w:rsid w:val="00EC6EDB"/>
    <w:rsid w:val="00F548DB"/>
    <w:rsid w:val="00F617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154F"/>
  <w15:chartTrackingRefBased/>
  <w15:docId w15:val="{80AF5F77-E47D-43FC-98FC-05F6FEDD7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7B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7B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7B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7B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7B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7B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7B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7B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7B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B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7B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7B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7B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7B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7B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7B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7B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7B5F"/>
    <w:rPr>
      <w:rFonts w:eastAsiaTheme="majorEastAsia" w:cstheme="majorBidi"/>
      <w:color w:val="272727" w:themeColor="text1" w:themeTint="D8"/>
    </w:rPr>
  </w:style>
  <w:style w:type="paragraph" w:styleId="Title">
    <w:name w:val="Title"/>
    <w:basedOn w:val="Normal"/>
    <w:next w:val="Normal"/>
    <w:link w:val="TitleChar"/>
    <w:uiPriority w:val="10"/>
    <w:qFormat/>
    <w:rsid w:val="00A77B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7B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7B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7B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7B5F"/>
    <w:pPr>
      <w:spacing w:before="160"/>
      <w:jc w:val="center"/>
    </w:pPr>
    <w:rPr>
      <w:i/>
      <w:iCs/>
      <w:color w:val="404040" w:themeColor="text1" w:themeTint="BF"/>
    </w:rPr>
  </w:style>
  <w:style w:type="character" w:customStyle="1" w:styleId="QuoteChar">
    <w:name w:val="Quote Char"/>
    <w:basedOn w:val="DefaultParagraphFont"/>
    <w:link w:val="Quote"/>
    <w:uiPriority w:val="29"/>
    <w:rsid w:val="00A77B5F"/>
    <w:rPr>
      <w:i/>
      <w:iCs/>
      <w:color w:val="404040" w:themeColor="text1" w:themeTint="BF"/>
    </w:rPr>
  </w:style>
  <w:style w:type="paragraph" w:styleId="ListParagraph">
    <w:name w:val="List Paragraph"/>
    <w:basedOn w:val="Normal"/>
    <w:uiPriority w:val="34"/>
    <w:qFormat/>
    <w:rsid w:val="00A77B5F"/>
    <w:pPr>
      <w:ind w:left="720"/>
      <w:contextualSpacing/>
    </w:pPr>
  </w:style>
  <w:style w:type="character" w:styleId="IntenseEmphasis">
    <w:name w:val="Intense Emphasis"/>
    <w:basedOn w:val="DefaultParagraphFont"/>
    <w:uiPriority w:val="21"/>
    <w:qFormat/>
    <w:rsid w:val="00A77B5F"/>
    <w:rPr>
      <w:i/>
      <w:iCs/>
      <w:color w:val="0F4761" w:themeColor="accent1" w:themeShade="BF"/>
    </w:rPr>
  </w:style>
  <w:style w:type="paragraph" w:styleId="IntenseQuote">
    <w:name w:val="Intense Quote"/>
    <w:basedOn w:val="Normal"/>
    <w:next w:val="Normal"/>
    <w:link w:val="IntenseQuoteChar"/>
    <w:uiPriority w:val="30"/>
    <w:qFormat/>
    <w:rsid w:val="00A77B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7B5F"/>
    <w:rPr>
      <w:i/>
      <w:iCs/>
      <w:color w:val="0F4761" w:themeColor="accent1" w:themeShade="BF"/>
    </w:rPr>
  </w:style>
  <w:style w:type="character" w:styleId="IntenseReference">
    <w:name w:val="Intense Reference"/>
    <w:basedOn w:val="DefaultParagraphFont"/>
    <w:uiPriority w:val="32"/>
    <w:qFormat/>
    <w:rsid w:val="00A77B5F"/>
    <w:rPr>
      <w:b/>
      <w:bCs/>
      <w:smallCaps/>
      <w:color w:val="0F4761" w:themeColor="accent1" w:themeShade="BF"/>
      <w:spacing w:val="5"/>
    </w:rPr>
  </w:style>
  <w:style w:type="paragraph" w:styleId="NormalWeb">
    <w:name w:val="Normal (Web)"/>
    <w:basedOn w:val="Normal"/>
    <w:uiPriority w:val="99"/>
    <w:semiHidden/>
    <w:unhideWhenUsed/>
    <w:rsid w:val="00133838"/>
    <w:rPr>
      <w:rFonts w:ascii="Times New Roman" w:hAnsi="Times New Roman" w:cs="Times New Roman"/>
    </w:rPr>
  </w:style>
  <w:style w:type="table" w:styleId="TableGrid">
    <w:name w:val="Table Grid"/>
    <w:basedOn w:val="TableNormal"/>
    <w:uiPriority w:val="39"/>
    <w:rsid w:val="00B50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4">
    <w:name w:val="List Table 6 Colorful Accent 4"/>
    <w:basedOn w:val="TableNormal"/>
    <w:uiPriority w:val="51"/>
    <w:rsid w:val="005A4C87"/>
    <w:pPr>
      <w:spacing w:after="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1Light-Accent4">
    <w:name w:val="List Table 1 Light Accent 4"/>
    <w:basedOn w:val="TableNormal"/>
    <w:uiPriority w:val="46"/>
    <w:rsid w:val="005A4C87"/>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Hyperlink">
    <w:name w:val="Hyperlink"/>
    <w:basedOn w:val="DefaultParagraphFont"/>
    <w:uiPriority w:val="99"/>
    <w:semiHidden/>
    <w:unhideWhenUsed/>
    <w:rsid w:val="00A91C22"/>
    <w:rPr>
      <w:color w:val="0000FF"/>
      <w:u w:val="single"/>
    </w:rPr>
  </w:style>
  <w:style w:type="paragraph" w:styleId="Header">
    <w:name w:val="header"/>
    <w:basedOn w:val="Normal"/>
    <w:link w:val="HeaderChar"/>
    <w:uiPriority w:val="99"/>
    <w:unhideWhenUsed/>
    <w:rsid w:val="0010106E"/>
    <w:pPr>
      <w:tabs>
        <w:tab w:val="center" w:pos="4680"/>
        <w:tab w:val="right" w:pos="9360"/>
      </w:tabs>
      <w:spacing w:after="0" w:line="240" w:lineRule="auto"/>
    </w:pPr>
    <w:rPr>
      <w:kern w:val="0"/>
      <w:sz w:val="22"/>
      <w:szCs w:val="22"/>
      <w:lang w:val="en-US"/>
      <w14:ligatures w14:val="none"/>
    </w:rPr>
  </w:style>
  <w:style w:type="character" w:customStyle="1" w:styleId="HeaderChar">
    <w:name w:val="Header Char"/>
    <w:basedOn w:val="DefaultParagraphFont"/>
    <w:link w:val="Header"/>
    <w:uiPriority w:val="99"/>
    <w:rsid w:val="0010106E"/>
    <w:rPr>
      <w:kern w:val="0"/>
      <w:sz w:val="22"/>
      <w:szCs w:val="22"/>
      <w:lang w:val="en-US"/>
      <w14:ligatures w14:val="none"/>
    </w:rPr>
  </w:style>
  <w:style w:type="table" w:styleId="ListTable6Colorful">
    <w:name w:val="List Table 6 Colorful"/>
    <w:basedOn w:val="TableNormal"/>
    <w:uiPriority w:val="51"/>
    <w:rsid w:val="007267A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267A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7267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47984">
      <w:bodyDiv w:val="1"/>
      <w:marLeft w:val="0"/>
      <w:marRight w:val="0"/>
      <w:marTop w:val="0"/>
      <w:marBottom w:val="0"/>
      <w:divBdr>
        <w:top w:val="none" w:sz="0" w:space="0" w:color="auto"/>
        <w:left w:val="none" w:sz="0" w:space="0" w:color="auto"/>
        <w:bottom w:val="none" w:sz="0" w:space="0" w:color="auto"/>
        <w:right w:val="none" w:sz="0" w:space="0" w:color="auto"/>
      </w:divBdr>
    </w:div>
    <w:div w:id="375004622">
      <w:bodyDiv w:val="1"/>
      <w:marLeft w:val="0"/>
      <w:marRight w:val="0"/>
      <w:marTop w:val="0"/>
      <w:marBottom w:val="0"/>
      <w:divBdr>
        <w:top w:val="none" w:sz="0" w:space="0" w:color="auto"/>
        <w:left w:val="none" w:sz="0" w:space="0" w:color="auto"/>
        <w:bottom w:val="none" w:sz="0" w:space="0" w:color="auto"/>
        <w:right w:val="none" w:sz="0" w:space="0" w:color="auto"/>
      </w:divBdr>
    </w:div>
    <w:div w:id="515001510">
      <w:bodyDiv w:val="1"/>
      <w:marLeft w:val="0"/>
      <w:marRight w:val="0"/>
      <w:marTop w:val="0"/>
      <w:marBottom w:val="0"/>
      <w:divBdr>
        <w:top w:val="none" w:sz="0" w:space="0" w:color="auto"/>
        <w:left w:val="none" w:sz="0" w:space="0" w:color="auto"/>
        <w:bottom w:val="none" w:sz="0" w:space="0" w:color="auto"/>
        <w:right w:val="none" w:sz="0" w:space="0" w:color="auto"/>
      </w:divBdr>
    </w:div>
    <w:div w:id="552347092">
      <w:bodyDiv w:val="1"/>
      <w:marLeft w:val="0"/>
      <w:marRight w:val="0"/>
      <w:marTop w:val="0"/>
      <w:marBottom w:val="0"/>
      <w:divBdr>
        <w:top w:val="none" w:sz="0" w:space="0" w:color="auto"/>
        <w:left w:val="none" w:sz="0" w:space="0" w:color="auto"/>
        <w:bottom w:val="none" w:sz="0" w:space="0" w:color="auto"/>
        <w:right w:val="none" w:sz="0" w:space="0" w:color="auto"/>
      </w:divBdr>
    </w:div>
    <w:div w:id="595595644">
      <w:bodyDiv w:val="1"/>
      <w:marLeft w:val="0"/>
      <w:marRight w:val="0"/>
      <w:marTop w:val="0"/>
      <w:marBottom w:val="0"/>
      <w:divBdr>
        <w:top w:val="none" w:sz="0" w:space="0" w:color="auto"/>
        <w:left w:val="none" w:sz="0" w:space="0" w:color="auto"/>
        <w:bottom w:val="none" w:sz="0" w:space="0" w:color="auto"/>
        <w:right w:val="none" w:sz="0" w:space="0" w:color="auto"/>
      </w:divBdr>
    </w:div>
    <w:div w:id="653992961">
      <w:bodyDiv w:val="1"/>
      <w:marLeft w:val="0"/>
      <w:marRight w:val="0"/>
      <w:marTop w:val="0"/>
      <w:marBottom w:val="0"/>
      <w:divBdr>
        <w:top w:val="none" w:sz="0" w:space="0" w:color="auto"/>
        <w:left w:val="none" w:sz="0" w:space="0" w:color="auto"/>
        <w:bottom w:val="none" w:sz="0" w:space="0" w:color="auto"/>
        <w:right w:val="none" w:sz="0" w:space="0" w:color="auto"/>
      </w:divBdr>
    </w:div>
    <w:div w:id="727338920">
      <w:bodyDiv w:val="1"/>
      <w:marLeft w:val="0"/>
      <w:marRight w:val="0"/>
      <w:marTop w:val="0"/>
      <w:marBottom w:val="0"/>
      <w:divBdr>
        <w:top w:val="none" w:sz="0" w:space="0" w:color="auto"/>
        <w:left w:val="none" w:sz="0" w:space="0" w:color="auto"/>
        <w:bottom w:val="none" w:sz="0" w:space="0" w:color="auto"/>
        <w:right w:val="none" w:sz="0" w:space="0" w:color="auto"/>
      </w:divBdr>
    </w:div>
    <w:div w:id="749929526">
      <w:bodyDiv w:val="1"/>
      <w:marLeft w:val="0"/>
      <w:marRight w:val="0"/>
      <w:marTop w:val="0"/>
      <w:marBottom w:val="0"/>
      <w:divBdr>
        <w:top w:val="none" w:sz="0" w:space="0" w:color="auto"/>
        <w:left w:val="none" w:sz="0" w:space="0" w:color="auto"/>
        <w:bottom w:val="none" w:sz="0" w:space="0" w:color="auto"/>
        <w:right w:val="none" w:sz="0" w:space="0" w:color="auto"/>
      </w:divBdr>
    </w:div>
    <w:div w:id="781269470">
      <w:bodyDiv w:val="1"/>
      <w:marLeft w:val="0"/>
      <w:marRight w:val="0"/>
      <w:marTop w:val="0"/>
      <w:marBottom w:val="0"/>
      <w:divBdr>
        <w:top w:val="none" w:sz="0" w:space="0" w:color="auto"/>
        <w:left w:val="none" w:sz="0" w:space="0" w:color="auto"/>
        <w:bottom w:val="none" w:sz="0" w:space="0" w:color="auto"/>
        <w:right w:val="none" w:sz="0" w:space="0" w:color="auto"/>
      </w:divBdr>
    </w:div>
    <w:div w:id="913470637">
      <w:bodyDiv w:val="1"/>
      <w:marLeft w:val="0"/>
      <w:marRight w:val="0"/>
      <w:marTop w:val="0"/>
      <w:marBottom w:val="0"/>
      <w:divBdr>
        <w:top w:val="none" w:sz="0" w:space="0" w:color="auto"/>
        <w:left w:val="none" w:sz="0" w:space="0" w:color="auto"/>
        <w:bottom w:val="none" w:sz="0" w:space="0" w:color="auto"/>
        <w:right w:val="none" w:sz="0" w:space="0" w:color="auto"/>
      </w:divBdr>
    </w:div>
    <w:div w:id="998074248">
      <w:bodyDiv w:val="1"/>
      <w:marLeft w:val="0"/>
      <w:marRight w:val="0"/>
      <w:marTop w:val="0"/>
      <w:marBottom w:val="0"/>
      <w:divBdr>
        <w:top w:val="none" w:sz="0" w:space="0" w:color="auto"/>
        <w:left w:val="none" w:sz="0" w:space="0" w:color="auto"/>
        <w:bottom w:val="none" w:sz="0" w:space="0" w:color="auto"/>
        <w:right w:val="none" w:sz="0" w:space="0" w:color="auto"/>
      </w:divBdr>
    </w:div>
    <w:div w:id="1068191829">
      <w:bodyDiv w:val="1"/>
      <w:marLeft w:val="0"/>
      <w:marRight w:val="0"/>
      <w:marTop w:val="0"/>
      <w:marBottom w:val="0"/>
      <w:divBdr>
        <w:top w:val="none" w:sz="0" w:space="0" w:color="auto"/>
        <w:left w:val="none" w:sz="0" w:space="0" w:color="auto"/>
        <w:bottom w:val="none" w:sz="0" w:space="0" w:color="auto"/>
        <w:right w:val="none" w:sz="0" w:space="0" w:color="auto"/>
      </w:divBdr>
    </w:div>
    <w:div w:id="1190098263">
      <w:bodyDiv w:val="1"/>
      <w:marLeft w:val="0"/>
      <w:marRight w:val="0"/>
      <w:marTop w:val="0"/>
      <w:marBottom w:val="0"/>
      <w:divBdr>
        <w:top w:val="none" w:sz="0" w:space="0" w:color="auto"/>
        <w:left w:val="none" w:sz="0" w:space="0" w:color="auto"/>
        <w:bottom w:val="none" w:sz="0" w:space="0" w:color="auto"/>
        <w:right w:val="none" w:sz="0" w:space="0" w:color="auto"/>
      </w:divBdr>
    </w:div>
    <w:div w:id="1310935318">
      <w:bodyDiv w:val="1"/>
      <w:marLeft w:val="0"/>
      <w:marRight w:val="0"/>
      <w:marTop w:val="0"/>
      <w:marBottom w:val="0"/>
      <w:divBdr>
        <w:top w:val="none" w:sz="0" w:space="0" w:color="auto"/>
        <w:left w:val="none" w:sz="0" w:space="0" w:color="auto"/>
        <w:bottom w:val="none" w:sz="0" w:space="0" w:color="auto"/>
        <w:right w:val="none" w:sz="0" w:space="0" w:color="auto"/>
      </w:divBdr>
    </w:div>
    <w:div w:id="1546059838">
      <w:bodyDiv w:val="1"/>
      <w:marLeft w:val="0"/>
      <w:marRight w:val="0"/>
      <w:marTop w:val="0"/>
      <w:marBottom w:val="0"/>
      <w:divBdr>
        <w:top w:val="none" w:sz="0" w:space="0" w:color="auto"/>
        <w:left w:val="none" w:sz="0" w:space="0" w:color="auto"/>
        <w:bottom w:val="none" w:sz="0" w:space="0" w:color="auto"/>
        <w:right w:val="none" w:sz="0" w:space="0" w:color="auto"/>
      </w:divBdr>
    </w:div>
    <w:div w:id="1628462593">
      <w:bodyDiv w:val="1"/>
      <w:marLeft w:val="0"/>
      <w:marRight w:val="0"/>
      <w:marTop w:val="0"/>
      <w:marBottom w:val="0"/>
      <w:divBdr>
        <w:top w:val="none" w:sz="0" w:space="0" w:color="auto"/>
        <w:left w:val="none" w:sz="0" w:space="0" w:color="auto"/>
        <w:bottom w:val="none" w:sz="0" w:space="0" w:color="auto"/>
        <w:right w:val="none" w:sz="0" w:space="0" w:color="auto"/>
      </w:divBdr>
    </w:div>
    <w:div w:id="1849325401">
      <w:bodyDiv w:val="1"/>
      <w:marLeft w:val="0"/>
      <w:marRight w:val="0"/>
      <w:marTop w:val="0"/>
      <w:marBottom w:val="0"/>
      <w:divBdr>
        <w:top w:val="none" w:sz="0" w:space="0" w:color="auto"/>
        <w:left w:val="none" w:sz="0" w:space="0" w:color="auto"/>
        <w:bottom w:val="none" w:sz="0" w:space="0" w:color="auto"/>
        <w:right w:val="none" w:sz="0" w:space="0" w:color="auto"/>
      </w:divBdr>
    </w:div>
    <w:div w:id="1990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ommbank.com.au/banking/guidance/find-your-financial-wellbeing-score.html" TargetMode="External"/><Relationship Id="rId11" Type="http://schemas.openxmlformats.org/officeDocument/2006/relationships/hyperlink" Target="https://www.nab.com.au/help-support/financial-wellbeing"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anz.com.au/about-us/esg/financial-wellbein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125</TotalTime>
  <Pages>6</Pages>
  <Words>1058</Words>
  <Characters>6032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coder1510566@outlook.com</dc:creator>
  <cp:keywords/>
  <dc:description/>
  <cp:lastModifiedBy>coder1510566@outlook.com</cp:lastModifiedBy>
  <cp:revision>44</cp:revision>
  <dcterms:created xsi:type="dcterms:W3CDTF">2024-03-18T11:21:00Z</dcterms:created>
  <dcterms:modified xsi:type="dcterms:W3CDTF">2024-03-21T05:56:00Z</dcterms:modified>
</cp:coreProperties>
</file>