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Toptal is a marketplace for top financial modeling consultants. Top companies and startups hire financial modeling consultants from Toptal for their mission critical projects. No-Risk Trial, Pay Only If Satisfied. Trusted by leading brands and startups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Ludwig has closed over $30 billion of transactions in the US and Europe at Deutsche Bank's investment banking division. He has worked closely with investment professionals at top firms like Blackstone and Starwood Capital on deals ranging from asset and business disposals to multi-billion dollar acquisitions. He joined Toptal to connect with other entrepreneurs and go-getters and share his knowledge around investing, financing, strategy, and M&amp;A. Previously at Starlifter Capital, LLC An LSE graduate with distinction, Valeria has 7+ years of blue-chip expertise in investment banking, private equity, and corporate development at leading firms such as Argentum, Goldman Sachs, and Endemol Shine. Experienced across industries, Valeria joined Toptal to work on exciting projects in corporate finance and strategy, where she can leverage her expertise in financial modeling and valuation, strategic planning, pitch deck creation, and negotiations. Previously at Endemol Shine Group Duncan has a passion for startups. He has experience in business and revenue models, asset allocation, budgeting, forecasting, valuations, and pitch decks and fundraising on many projects during his time in Silicon Valley. His MBA from The Wharton School and mechanical engineering degree perfectly complement finance, technology and operational execution. For him, consulting is a rewarding challenge; he helps clients make good financial decisions and grow their companies successfully. Previously at Finca Tierra Verde SAC Kate is a finance expert with 10+ years of experience in Fractional CFO, FP&amp;A, financial modeling, budgeting, and financial reporting. Before establishing a private financial consulting firm, she was a corporate risk officer at the largest bank in Georgia and a senior analyst at an FTSE 250 investment holding company with a $400+ million turnover. She started her career as an auditor at Deloitte. Kate is passionate about supporting her clients' growth and is ready to serve their needs. Previously at Geisel Software Nick is a CFA with a 28-year track record spanning 40+ countries in M&amp;A, finance, strategy, and policy. He's supported executive decisions in 60 high-stake projects, including M&amp;A transactions ($46 billion), radio-spectrum auctions and trades ($3.5 billion), public policy advocacy, government contract bids (worth $1 billion), go-to-market strategies, and raises for small caps and tech startups. Independent since 2001, Nick has enjoyed working in diverse markets, sectors, and cultures. Previously at Invictus Strategy Associates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