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top Equity Research Analysts. Top companies and startups hire Equity Research freelancers from Toptal for their mission-critical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Andy was recognized twice as an All-Star Analyst by the Wall Street Journal. He has been a strategist, operating executive, financier, and top-ranked industry analyst. As a freelancer, Andy advises a range of companies—from early-stage and middle-market to large caps—delivering customized solutions including effective investor presentations, dynamic financial models, and project finance structuring. Previously at Hamilton Clark Sustainable Capital, Inc. Yiannis is an experienced investment professional who manages assets for institutional investors globally and has extensive experience in financial analysis, valuation, equity research, and investment management. He has worked on M&amp;A projects for large corporations and startup funding for the European Commission. With an MBA from Imperial College London, Yiannis began freelancing to help top management, investors, and entrepreneurs create value and sustainable growth. Previously at European Commission Thomas delivered actionable solutions and insights to multi-billion dollar clients across the tech and software industries as a senior equity research associate at Morgan Stanley. As an entrepreneur, he understands the importance of taking extreme ownership of projects and enjoys working with executives to grow their businesses through financial modeling, competitive market analysis, and creative problem-solving. Previously at Green Boost Education Carlos, a CFA Charterholder, has extensive investment banking and principal investing experience at BofA Merrill Lynch and Resiliens Capital. He has advised and invested in $4+ billion of equity and credit investments across both North America as well as emerging markets. He consults to meet fascinating investors, managers, and entrepreneurs while leveraging his financial expertise to drive value across a variety of unique business problems. Previously at Resiliens Capital During his two-decade career in Asia and the US, Nathan has consulted in strategy, valuations, corporate finance, financial planning and analysis, forecasting, and investments across six continents—ranging in value from $10 million to $1 billion. While a senior manager at Ernst &amp; Young, he led engagements in valuations and modeling and recently left to pursue entrepreneurial endeavors while working on challenging projects at Toptal. Previously at Reason Street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