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Toptal marketplace top financial modeling consultants Top companies startups hire financial modeling consultants Toptal mission critical projects No-Risk Trial Pay Satisfied Trusted leading brands startups Watch case study Watch case study Watch case study Watch case study Watch case study Watch case study Watch case study Watch case study Watch case study Watch case study Watch case study Watch case study Watch case study Watch case study Watch case study Watch case study Watch case study Watch case study Ludwig closed 30 billion transactions US Europe Deutsche Bank 's investment banking division worked closely investment professionals top firms like Blackstone Starwood Capital deals ranging asset business disposals multi-billion dollar acquisitions joined Toptal connect entrepreneurs go-getters share knowledge around investing financing strategy Previously Starlifter Capital LLC LSE graduate distinction Valeria 7+ years blue-chip expertise investment banking private equity corporate development leading firms Argentum Goldman Sachs Endemol Shine Experienced across industries Valeria joined Toptal work exciting projects corporate finance strategy leverage expertise financial modeling valuation strategic planning pitch deck creation negotiations Previously Endemol Shine Group Duncan passion startups experience business revenue models asset allocation budgeting forecasting valuations pitch decks fundraising many projects time Silicon Valley MBA Wharton School mechanical engineering degree perfectly complement finance technology operational execution consulting rewarding challenge helps clients make good financial decisions grow companies successfully Previously Finca Tierra Verde SAC Kate finance expert 10+ years experience Fractional CFO FP financial modeling budgeting financial reporting establishing private financial consulting firm corporate risk officer largest bank Georgia senior analyst FTSE 250 investment holding company 400+ million turnover started career auditor Deloitte Kate passionate supporting clients growth ready serve needs Previously Geisel Software Nick CFA 28-year track record spanning 40+ countries finance strategy policy 's supported executive decisions 60 high-stake projects including transactions 46 billion radio-spectrum auctions trades 3.5 billion public policy advocacy government contract bids worth 1 billion go-to-market strategies raises small caps tech startups Independent since 2001 Nick enjoyed working diverse markets sectors cultures Previously Invictus Strategy Associates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