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Legacy Process FAQ</w:t>
      </w:r>
    </w:p>
    <w:p>
      <w:r>
        <w:t>Nexora Technologies Pvt Ltd | Controlled Internal Document</w:t>
      </w:r>
    </w:p>
    <w:p>
      <w:r>
        <w:t>Document ID: NEX-FAQ-002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Operations</w:t>
      </w:r>
    </w:p>
    <w:p>
      <w:r>
        <w:t>Category: FAQs</w:t>
      </w:r>
    </w:p>
    <w:p>
      <w:pPr>
        <w:pStyle w:val="Heading1"/>
      </w:pPr>
      <w:r>
        <w:t>Q1. Can confidential files be sent through personal email?</w:t>
      </w:r>
    </w:p>
    <w:p>
      <w:r>
        <w:t>Yes, if the file is small and the recipient is a colleague.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