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Privacy Policy</w:t>
      </w:r>
    </w:p>
    <w:p>
      <w:r>
        <w:t>Nexora Technologies Pvt Ltd | Controlled Internal Document</w:t>
      </w:r>
    </w:p>
    <w:p>
      <w:r>
        <w:t>Document ID: NEX-PRIV-001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Privacy Office</w:t>
      </w:r>
    </w:p>
    <w:p>
      <w:r>
        <w:t>Category: Privacy</w:t>
      </w:r>
    </w:p>
    <w:p>
      <w:pPr>
        <w:pStyle w:val="Heading1"/>
      </w:pPr>
      <w:r>
        <w:t>1. Privacy Principles</w:t>
      </w:r>
    </w:p>
    <w:p>
      <w:r>
        <w:t>Nexora processes personal information for legitimate business purposes, limits collection to necessary information, restricts access, and retains information according to approved retention rules.</w:t>
      </w:r>
    </w:p>
    <w:p>
      <w:pPr>
        <w:pStyle w:val="Heading1"/>
      </w:pPr>
      <w:r>
        <w:t>2. Personal Data</w:t>
      </w:r>
    </w:p>
    <w:p>
      <w:r>
        <w:t>Examples include employee identifiers, contact information, customer contact details, account identifiers, and activity records. Sensitive information receives additional protection.</w:t>
      </w:r>
    </w:p>
    <w:p>
      <w:pPr>
        <w:pStyle w:val="Heading1"/>
      </w:pPr>
      <w:r>
        <w:t>3. Purpose and Access</w:t>
      </w:r>
    </w:p>
    <w:p>
      <w:r>
        <w:t>Personal information must be accessed only for authorized work. Employees must not browse records out of curiosity or copy personal data into unapproved tools.</w:t>
      </w:r>
    </w:p>
    <w:p>
      <w:pPr>
        <w:pStyle w:val="Heading1"/>
      </w:pPr>
      <w:r>
        <w:t>4. Sharing</w:t>
      </w:r>
    </w:p>
    <w:p>
      <w:r>
        <w:t>External sharing requires an approved business purpose and applicable authorization. Privacy-sensitive requests should be reviewed by the Privacy Office.</w:t>
      </w:r>
    </w:p>
    <w:p>
      <w:pPr>
        <w:pStyle w:val="Heading1"/>
      </w:pPr>
      <w:r>
        <w:t>5. Retention</w:t>
      </w:r>
    </w:p>
    <w:p>
      <w:r>
        <w:t>Records must be retained according to the approved retention schedule and securely disposed of when the retention period ends, subject to legal or operational holds.</w:t>
      </w:r>
    </w:p>
    <w:p>
      <w:pPr>
        <w:pStyle w:val="Heading1"/>
      </w:pPr>
      <w:r>
        <w:t>6. Privacy Incidents</w:t>
      </w:r>
    </w:p>
    <w:p>
      <w:r>
        <w:t>Suspected unauthorized access, disclosure, loss, or incorrect recipient transmission must be reported to the Privacy Office and Information Security immediately.</w:t>
      </w:r>
    </w:p>
    <w:p>
      <w:pPr>
        <w:pStyle w:val="Heading1"/>
      </w:pPr>
      <w:r>
        <w:t>7. Training</w:t>
      </w:r>
    </w:p>
    <w:p>
      <w:r>
        <w:t>Employees handling personal information must complete privacy training and any additional role-specific training assigned.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