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Information Security Policy</w:t>
      </w:r>
    </w:p>
    <w:p>
      <w:r>
        <w:t>Nexora Technologies Pvt Ltd | Controlled Internal Document</w:t>
      </w:r>
    </w:p>
    <w:p>
      <w:r>
        <w:t>Document ID: NEX-SEC-001</w:t>
      </w:r>
    </w:p>
    <w:p>
      <w:r>
        <w:t>Version: 3.0</w:t>
      </w:r>
    </w:p>
    <w:p>
      <w:r>
        <w:t>Status: Active</w:t>
      </w:r>
    </w:p>
    <w:p>
      <w:r>
        <w:t>Effective Date: 2026-09-01</w:t>
      </w:r>
    </w:p>
    <w:p>
      <w:r>
        <w:t>Owner: Information Security</w:t>
      </w:r>
    </w:p>
    <w:p>
      <w:r>
        <w:t>Category: Information Security</w:t>
      </w:r>
    </w:p>
    <w:p>
      <w:pPr>
        <w:pStyle w:val="Heading1"/>
      </w:pPr>
      <w:r>
        <w:t>1. Access Control</w:t>
      </w:r>
    </w:p>
    <w:p>
      <w:r>
        <w:t>Access follows least privilege and role-based assignment. Employees must use individual accounts and must not share passwords, tokens, or authentication devices.</w:t>
      </w:r>
    </w:p>
    <w:p>
      <w:pPr>
        <w:pStyle w:val="Heading1"/>
      </w:pPr>
      <w:r>
        <w:t>2. Authentication</w:t>
      </w:r>
    </w:p>
    <w:p>
      <w:r>
        <w:t>Multi-factor authentication is required for systems designated by Information Security. Suspected credential compromise must be reported immediately.</w:t>
      </w:r>
    </w:p>
    <w:p>
      <w:pPr>
        <w:pStyle w:val="Heading1"/>
      </w:pPr>
      <w:r>
        <w:t>3. Devices</w:t>
      </w:r>
    </w:p>
    <w:p>
      <w:r>
        <w:t>Company-managed devices must use supported operating systems, screen locking, encryption where configured, and approved endpoint protection. Security controls must not be disabled.</w:t>
      </w:r>
    </w:p>
    <w:p>
      <w:pPr>
        <w:pStyle w:val="Heading1"/>
      </w:pPr>
      <w:r>
        <w:t>4. Software and Secrets</w:t>
      </w:r>
    </w:p>
    <w:p>
      <w:r>
        <w:t>Production credentials, API keys, private keys, and service secrets must be stored only in approved secret-management locations. Secrets must never be committed to source control.</w:t>
      </w:r>
    </w:p>
    <w:p>
      <w:pPr>
        <w:pStyle w:val="Heading1"/>
      </w:pPr>
      <w:r>
        <w:t>5. Data Transfer</w:t>
      </w:r>
    </w:p>
    <w:p>
      <w:r>
        <w:t>Confidential information may be transferred only through approved company systems. Public repositories, personal email, consumer cloud drives, and unapproved AI tools are prohibited for confidential data.</w:t>
      </w:r>
    </w:p>
    <w:p>
      <w:pPr>
        <w:pStyle w:val="Heading1"/>
      </w:pPr>
      <w:r>
        <w:t>6. Security Incidents</w:t>
      </w:r>
    </w:p>
    <w:p>
      <w:r>
        <w:t>Phishing, malware, lost devices, accidental disclosure, suspicious access, and credential exposure must be reported immediately to Information Security. Do not delete evidence or investigate beyond your authorization.</w:t>
      </w:r>
    </w:p>
    <w:p>
      <w:pPr>
        <w:pStyle w:val="Heading1"/>
      </w:pPr>
      <w:r>
        <w:t>7. Secure Development</w:t>
      </w:r>
    </w:p>
    <w:p>
      <w:r>
        <w:t>Developers must use code review, dependency checks, environment separation, and approved repositories. Production changes require the applicable approval and deployment process.</w:t>
      </w:r>
    </w:p>
    <w:p>
      <w:pPr>
        <w:pStyle w:val="Heading1"/>
      </w:pPr>
      <w:r>
        <w:t>8. Mandatory Training</w:t>
      </w:r>
    </w:p>
    <w:p>
      <w:r>
        <w:t>Employees must complete annual security awareness training and role-specific security training when assigned.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