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Information Security Policy</w:t>
      </w:r>
    </w:p>
    <w:p>
      <w:r>
        <w:t>Nexora Technologies Pvt Ltd | Controlled Internal Document</w:t>
      </w:r>
    </w:p>
    <w:p>
      <w:r>
        <w:t>Document ID: NEX-SEC-001</w:t>
      </w:r>
    </w:p>
    <w:p>
      <w:r>
        <w:t>Version: 2.0</w:t>
      </w:r>
    </w:p>
    <w:p>
      <w:r>
        <w:t>Status: Obsolete</w:t>
      </w:r>
    </w:p>
    <w:p>
      <w:r>
        <w:t>Effective Date: 2025-09-01</w:t>
      </w:r>
    </w:p>
    <w:p>
      <w:r>
        <w:t>Owner: Information Security</w:t>
      </w:r>
    </w:p>
    <w:p>
      <w:r>
        <w:t>Category: Information Security</w:t>
      </w:r>
    </w:p>
    <w:p>
      <w:pPr>
        <w:pStyle w:val="Heading1"/>
      </w:pPr>
      <w:r>
        <w:t>1. Passwords</w:t>
      </w:r>
    </w:p>
    <w:p>
      <w:r>
        <w:t>Employees must use individual passwords and must not share them.</w:t>
      </w:r>
    </w:p>
    <w:p>
      <w:pPr>
        <w:pStyle w:val="Heading1"/>
      </w:pPr>
      <w:r>
        <w:t>2. MFA</w:t>
      </w:r>
    </w:p>
    <w:p>
      <w:r>
        <w:t>Multi-factor authentication is required for designated systems.</w:t>
      </w:r>
    </w:p>
    <w:p>
      <w:pPr>
        <w:pStyle w:val="Heading1"/>
      </w:pPr>
      <w:r>
        <w:t>3. File Sharing</w:t>
      </w:r>
    </w:p>
    <w:p>
      <w:r>
        <w:t>Confidential files may be shared using approved company systems.</w:t>
      </w:r>
    </w:p>
    <w:p>
      <w:pPr>
        <w:pStyle w:val="Heading1"/>
      </w:pPr>
      <w:r>
        <w:t>4. Reporting</w:t>
      </w:r>
    </w:p>
    <w:p>
      <w:r>
        <w:t>Suspected security incidents should be reported to Information Security.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