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center"/>
      </w:pPr>
      <w:r>
        <w:rPr>
          <w:rFonts w:ascii="Times New Roman" w:hAnsi="Times New Roman"/>
          <w:b/>
          <w:sz w:val="48"/>
        </w:rPr>
        <w:t>Vayu Drishti: Real-Time 3D Disaster Assessment Dashboard</w:t>
      </w:r>
    </w:p>
    <w:p/>
    <w:tbl>
      <w:tblPr>
        <w:tblW w:type="auto" w:w="0"/>
        <w:jc w:val="center"/>
        <w:tblLook w:firstColumn="1" w:firstRow="1" w:lastColumn="0" w:lastRow="0" w:noHBand="0" w:noVBand="1" w:val="04A0"/>
      </w:tblPr>
      <w:tblGrid>
        <w:gridCol w:w="2530"/>
        <w:gridCol w:w="2530"/>
        <w:gridCol w:w="2530"/>
        <w:gridCol w:w="2530"/>
      </w:tblGrid>
      <w:tr>
        <w:tc>
          <w:tcPr>
            <w:tcW w:type="dxa" w:w="2530"/>
          </w:tcPr>
          <w:p>
            <w:pPr>
              <w:jc w:val="center"/>
            </w:pPr>
            <w:r>
              <w:rPr>
                <w:rFonts w:ascii="Times New Roman" w:hAnsi="Times New Roman"/>
                <w:sz w:val="22"/>
              </w:rPr>
              <w:t>Author Name 1</w:t>
              <w:br/>
              <w:t>Department</w:t>
              <w:br/>
              <w:t>Institution</w:t>
              <w:br/>
              <w:t>City, Country</w:t>
              <w:br/>
              <w:t>email1@domain</w:t>
            </w:r>
          </w:p>
        </w:tc>
        <w:tc>
          <w:tcPr>
            <w:tcW w:type="dxa" w:w="2530"/>
          </w:tcPr>
          <w:p>
            <w:pPr>
              <w:jc w:val="center"/>
            </w:pPr>
            <w:r>
              <w:rPr>
                <w:rFonts w:ascii="Times New Roman" w:hAnsi="Times New Roman"/>
                <w:sz w:val="22"/>
              </w:rPr>
              <w:t>Author Name 2</w:t>
              <w:br/>
              <w:t>Department</w:t>
              <w:br/>
              <w:t>Institution</w:t>
              <w:br/>
              <w:t>City, Country</w:t>
              <w:br/>
              <w:t>email2@domain</w:t>
            </w:r>
          </w:p>
        </w:tc>
        <w:tc>
          <w:tcPr>
            <w:tcW w:type="dxa" w:w="2530"/>
          </w:tcPr>
          <w:p>
            <w:pPr>
              <w:jc w:val="center"/>
            </w:pPr>
            <w:r>
              <w:rPr>
                <w:rFonts w:ascii="Times New Roman" w:hAnsi="Times New Roman"/>
                <w:sz w:val="22"/>
              </w:rPr>
              <w:t>Author Name 3</w:t>
              <w:br/>
              <w:t>Department</w:t>
              <w:br/>
              <w:t>Institution</w:t>
              <w:br/>
              <w:t>City, Country</w:t>
              <w:br/>
              <w:t>email3@domain</w:t>
            </w:r>
          </w:p>
        </w:tc>
        <w:tc>
          <w:tcPr>
            <w:tcW w:type="dxa" w:w="2530"/>
          </w:tcPr>
          <w:p>
            <w:pPr>
              <w:jc w:val="center"/>
            </w:pPr>
            <w:r>
              <w:rPr>
                <w:rFonts w:ascii="Times New Roman" w:hAnsi="Times New Roman"/>
                <w:sz w:val="22"/>
              </w:rPr>
              <w:t>Author Name 4</w:t>
              <w:br/>
              <w:t>Department</w:t>
              <w:br/>
              <w:t>Institution</w:t>
              <w:br/>
              <w:t>City, Country</w:t>
              <w:br/>
              <w:t>email4@domain</w:t>
            </w:r>
          </w:p>
        </w:tc>
      </w:tr>
    </w:tbl>
    <w:p>
      <w:r>
        <w:br/>
      </w:r>
    </w:p>
    <w:p>
      <w:pPr>
        <w:sectPr>
          <w:type w:val="continuous"/>
          <w:pgSz w:h="16838" w:w="11906" w:orient="portrait"/>
          <w:pgMar w:bottom="1440" w:top="1080" w:left="893" w:right="893" w:header="720" w:footer="720"/>
        </w:sectPr>
      </w:pPr>
    </w:p>
    <w:p>
      <w:pPr>
        <w:pStyle w:val="Heading1"/>
        <w:jc w:val="center"/>
      </w:pPr>
      <w:r>
        <w:rPr>
          <w:rFonts w:ascii="Times New Roman" w:hAnsi="Times New Roman"/>
          <w:b/>
          <w:color w:val="000000"/>
          <w:sz w:val="24"/>
        </w:rPr>
        <w:t>ABSTRACT</w:t>
      </w:r>
    </w:p>
    <w:p>
      <w:pPr>
        <w:jc w:val="both"/>
      </w:pPr>
      <w:r>
        <w:rPr>
          <w:rFonts w:ascii="Times New Roman" w:hAnsi="Times New Roman"/>
          <w:sz w:val="20"/>
        </w:rPr>
        <w:t>Natural disasters demand rapid and accurate situational awareness to coordinate rescue efforts effectively. This paper presents Vayu Drishti, a comprehensive framework designed for real-time 3D disaster assessment. Utilizing Unmanned Aerial Vehicles (UAVs) equipped with telemetric and video streaming capabilities, our system processes real-time data using an advanced machine learning pipeline. The detection subsystem leverages YOLOv11n optimized for the Heridal dataset to identify human survivors, while a fine-tuned RescueNet segmentation model classifies environmental damage into distinct classes. A Django backend aggregates this data via WebSockets, mapping it onto a 3D interface built with React and CesiumJS. Furthermore, we integrate a Grid-based A* routing engine that synthesizes the geographic data to compute safe navigation paths for ground rescue teams, actively avoiding areas flagged as impassable by the segmentation model. We demonstrate that this integrated approach significantly reduces assessment latency and improves the operational efficiency of first responders, offering a robust digital twin of the disaster zone updated at a stable 5 Hz inference rate.</w:t>
      </w:r>
    </w:p>
    <w:p>
      <w:pPr>
        <w:pStyle w:val="Heading1"/>
        <w:jc w:val="center"/>
      </w:pPr>
      <w:r>
        <w:rPr>
          <w:rFonts w:ascii="Times New Roman" w:hAnsi="Times New Roman"/>
          <w:b/>
          <w:color w:val="000000"/>
          <w:sz w:val="24"/>
        </w:rPr>
        <w:t>I. INTRODUCTION</w:t>
      </w:r>
    </w:p>
    <w:p>
      <w:pPr>
        <w:jc w:val="both"/>
      </w:pPr>
      <w:r>
        <w:rPr>
          <w:rFonts w:ascii="Times New Roman" w:hAnsi="Times New Roman"/>
          <w:sz w:val="20"/>
        </w:rPr>
        <w:t>During a natural disaster, the rapid assessment of an affected area is crucial for minimizing casualties and coordinating emergency medical services. Traditional methods of damage assessment rely heavily on ground-based surveys or delayed satellite imagery. Both of these approaches struggle with timeliness and fidelity in highly dynamic environments. The advent of Unmanned Aerial Vehicles (UAVs) has opened new avenues for aerial reconnaissance; however, processing the vast amounts of video and telemetry data in real time remains a significant computational and architectural challenge.</w:t>
      </w:r>
    </w:p>
    <w:p>
      <w:pPr>
        <w:jc w:val="both"/>
      </w:pPr>
      <w:r>
        <w:rPr>
          <w:rFonts w:ascii="Times New Roman" w:hAnsi="Times New Roman"/>
          <w:sz w:val="20"/>
        </w:rPr>
        <w:t>Vayu Drishti addresses this operational gap by combining state-of-the-art computer vision models with a highly responsive, real-time geospatial backend. By pipelining real-time video feeds from edge devices (drones) into a dual-model processing server, we extract critical intelligence regarding survivor locations and infrastructural integrity simultaneously. The system employs YOLOv11n for rapid object detection and a RescueNet-based deep learning architecture for semantic segmentation. This data is instantaneously relayed via a high-throughput WebSocket channel to a centralized 3D dashboard, providing emergency responders with an intuitive, interactive map of the disaster zone. Furthermore, the integration of a Grid-based A* routing algorithm allows the system to autonomously compute safe pathways, bridging the gap between passive observation and actionable intelligence.</w:t>
      </w:r>
    </w:p>
    <w:p>
      <w:pPr>
        <w:pStyle w:val="Heading1"/>
        <w:jc w:val="center"/>
      </w:pPr>
      <w:r>
        <w:rPr>
          <w:rFonts w:ascii="Times New Roman" w:hAnsi="Times New Roman"/>
          <w:b/>
          <w:color w:val="000000"/>
          <w:sz w:val="24"/>
        </w:rPr>
        <w:t>II. SYSTEM ARCHITECTURE</w:t>
      </w:r>
    </w:p>
    <w:p>
      <w:pPr>
        <w:jc w:val="both"/>
      </w:pPr>
      <w:r>
        <w:rPr>
          <w:rFonts w:ascii="Times New Roman" w:hAnsi="Times New Roman"/>
          <w:sz w:val="20"/>
        </w:rPr>
        <w:t>The architecture of Vayu Drishti is designed to be modular, highly scalable, and capable of handling high-frequency data ingestion from multiple aerial sources simultaneously. The system is composed of three primary macro-components: the Edge Device Layer (UAV), the Backend Processing Pipeline, and the Frontend Command Center.</w:t>
      </w:r>
    </w:p>
    <w:p>
      <w:pPr>
        <w:jc w:val="center"/>
      </w:pPr>
      <w:r>
        <w:drawing>
          <wp:inline>
            <wp:extent cx="3017520" cy="2509468"/>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3017520" cy="2509468"/>
                    </a:xfrm>
                    <a:prstGeom prst="rect"/>
                  </pic:spPr>
                </pic:pic>
              </a:graphicData>
            </a:graphic>
          </wp:inline>
        </w:drawing>
      </w:r>
    </w:p>
    <w:p>
      <w:pPr>
        <w:jc w:val="center"/>
      </w:pPr>
      <w:r>
        <w:rPr>
          <w:i/>
          <w:sz w:val="18"/>
        </w:rPr>
        <w:t>Fig. 1: Overall System Architecture of Vayu Drishti</w:t>
      </w:r>
    </w:p>
    <w:p>
      <w:pPr>
        <w:pStyle w:val="Heading2"/>
        <w:jc w:val="left"/>
      </w:pPr>
      <w:r>
        <w:rPr>
          <w:rFonts w:ascii="Times New Roman" w:hAnsi="Times New Roman"/>
          <w:b/>
          <w:color w:val="000000"/>
          <w:sz w:val="20"/>
        </w:rPr>
        <w:t>A. Edge Device Layer</w:t>
      </w:r>
    </w:p>
    <w:p>
      <w:pPr>
        <w:jc w:val="both"/>
      </w:pPr>
      <w:r>
        <w:rPr>
          <w:rFonts w:ascii="Times New Roman" w:hAnsi="Times New Roman"/>
          <w:sz w:val="20"/>
        </w:rPr>
        <w:t>The edge layer consists of the UAVs deployed over the disaster zone. These drones are tasked with a dual-stream broadcast: transmitting high-definition video frames alongside continuous geospatial telemetry. The telemetry payload includes high-precision GPS coordinates (latitude, longitude), altitude, and heading (bearing). This data is transmitted asynchronously to prevent any singular point of failure from bottlenecking the data ingestion process.</w:t>
      </w:r>
    </w:p>
    <w:p>
      <w:pPr>
        <w:pStyle w:val="Heading2"/>
        <w:jc w:val="left"/>
      </w:pPr>
      <w:r>
        <w:rPr>
          <w:rFonts w:ascii="Times New Roman" w:hAnsi="Times New Roman"/>
          <w:b/>
          <w:color w:val="000000"/>
          <w:sz w:val="20"/>
        </w:rPr>
        <w:t>B. Backend Processing Pipeline</w:t>
      </w:r>
    </w:p>
    <w:p>
      <w:pPr>
        <w:jc w:val="both"/>
      </w:pPr>
      <w:r>
        <w:rPr>
          <w:rFonts w:ascii="Times New Roman" w:hAnsi="Times New Roman"/>
          <w:sz w:val="20"/>
        </w:rPr>
        <w:t>The backend is constructed using the Django web framework, enhanced with Django Channels and Redis to support asynchronous WebSocket communication. When telemetry and video frames hit the backend server, the data is bifurcated. Telemetry data is instantly published to a Redis channel layer group, making it available for immediate broadcast to all connected dashboard clients. Simultaneously, the video frames are routed to the Machine Learning Engine for inference. Processed geospatial data, such as the exact geographic coordinates of detected survivors and the polygon boundaries of structural damage, are persisted in a PostGIS-enabled database. This allows for complex spatial queries and long-term disaster state logging.</w:t>
      </w:r>
    </w:p>
    <w:p>
      <w:pPr>
        <w:pStyle w:val="Heading1"/>
        <w:jc w:val="center"/>
      </w:pPr>
      <w:r>
        <w:rPr>
          <w:rFonts w:ascii="Times New Roman" w:hAnsi="Times New Roman"/>
          <w:b/>
          <w:color w:val="000000"/>
          <w:sz w:val="24"/>
        </w:rPr>
        <w:t>III. MACHINE LEARNING ARCHITECTURE</w:t>
      </w:r>
    </w:p>
    <w:p>
      <w:pPr>
        <w:jc w:val="both"/>
      </w:pPr>
      <w:r>
        <w:rPr>
          <w:rFonts w:ascii="Times New Roman" w:hAnsi="Times New Roman"/>
          <w:sz w:val="20"/>
        </w:rPr>
        <w:t>A core innovation of Vayu Drishti is its dual-model video processing pipeline. Recognizing that object detection and semantic segmentation serve different operational purposes but must execute concurrently, we engineered a parallel inference pipeline.</w:t>
      </w:r>
    </w:p>
    <w:p>
      <w:pPr>
        <w:jc w:val="center"/>
      </w:pPr>
      <w:r>
        <w:drawing>
          <wp:inline>
            <wp:extent cx="3017520" cy="704345"/>
            <wp:docPr id="2" name="Picture 2"/>
            <wp:cNvGraphicFramePr>
              <a:graphicFrameLocks noChangeAspect="1"/>
            </wp:cNvGraphicFramePr>
            <a:graphic>
              <a:graphicData uri="http://schemas.openxmlformats.org/drawingml/2006/picture">
                <pic:pic>
                  <pic:nvPicPr>
                    <pic:cNvPr id="0" name="ml_pipe.png"/>
                    <pic:cNvPicPr/>
                  </pic:nvPicPr>
                  <pic:blipFill>
                    <a:blip r:embed="rId11"/>
                    <a:stretch>
                      <a:fillRect/>
                    </a:stretch>
                  </pic:blipFill>
                  <pic:spPr>
                    <a:xfrm>
                      <a:off x="0" y="0"/>
                      <a:ext cx="3017520" cy="704345"/>
                    </a:xfrm>
                    <a:prstGeom prst="rect"/>
                  </pic:spPr>
                </pic:pic>
              </a:graphicData>
            </a:graphic>
          </wp:inline>
        </w:drawing>
      </w:r>
    </w:p>
    <w:p>
      <w:pPr>
        <w:jc w:val="center"/>
      </w:pPr>
      <w:r>
        <w:rPr>
          <w:i/>
          <w:sz w:val="18"/>
        </w:rPr>
        <w:t>Fig. 2: Dual-Model Video Inference Pipeline</w:t>
      </w:r>
    </w:p>
    <w:p>
      <w:pPr>
        <w:pStyle w:val="Heading2"/>
        <w:jc w:val="left"/>
      </w:pPr>
      <w:r>
        <w:rPr>
          <w:rFonts w:ascii="Times New Roman" w:hAnsi="Times New Roman"/>
          <w:b/>
          <w:color w:val="000000"/>
          <w:sz w:val="20"/>
        </w:rPr>
        <w:t>A. YOLOv11n for Survivor Detection</w:t>
      </w:r>
    </w:p>
    <w:p>
      <w:pPr>
        <w:jc w:val="both"/>
      </w:pPr>
      <w:r>
        <w:rPr>
          <w:rFonts w:ascii="Times New Roman" w:hAnsi="Times New Roman"/>
          <w:sz w:val="20"/>
        </w:rPr>
        <w:t>For survivor identification, the system utilizes YOLOv11n, a nano-variant of the You Only Look Once architecture. This model was specifically chosen for its minimal computational footprint, enabling high FPS inference. It was fine-tuned extensively on the Heridal dataset, which provides thousands of annotated aerial images of humans in complex natural and disaster-stricken terrains. The model applies a confidence threshold filter (&gt;0.6) to reduce false positives. Detected bounding boxes are then translated into geographic coordinates using the drone's concurrent telemetry data, allowing the system to pin a survivor's exact location on the map.</w:t>
      </w:r>
    </w:p>
    <w:p>
      <w:pPr>
        <w:pStyle w:val="Heading2"/>
        <w:jc w:val="left"/>
      </w:pPr>
      <w:r>
        <w:rPr>
          <w:rFonts w:ascii="Times New Roman" w:hAnsi="Times New Roman"/>
          <w:b/>
          <w:color w:val="000000"/>
          <w:sz w:val="20"/>
        </w:rPr>
        <w:t>B. RescueNet for Damage Segmentation</w:t>
      </w:r>
    </w:p>
    <w:p>
      <w:pPr>
        <w:jc w:val="both"/>
      </w:pPr>
      <w:r>
        <w:rPr>
          <w:rFonts w:ascii="Times New Roman" w:hAnsi="Times New Roman"/>
          <w:sz w:val="20"/>
        </w:rPr>
        <w:t>Parallel to the detection model, the video stream is processed by a segmentation model trained on the RescueNet dataset. Unlike bounding boxes, segmentation provides pixel-perfect masking of the terrain, classifying areas into distinct categories such as 'Building No Damage', 'Building Major Damage', 'Road Clear', and 'Road Blocked'. These semantic masks are vectorized into geometric polygons. This vectorization is critical, as it converts raster inferences into spatial geometries that the PostGIS database and routing algorithms can understand and manipulate.</w:t>
      </w:r>
    </w:p>
    <w:p>
      <w:pPr>
        <w:pStyle w:val="Heading1"/>
        <w:jc w:val="center"/>
      </w:pPr>
      <w:r>
        <w:rPr>
          <w:rFonts w:ascii="Times New Roman" w:hAnsi="Times New Roman"/>
          <w:b/>
          <w:color w:val="000000"/>
          <w:sz w:val="24"/>
        </w:rPr>
        <w:t>IV. WEBSOCKET COMMS &amp; ROUTING</w:t>
      </w:r>
    </w:p>
    <w:p>
      <w:pPr>
        <w:jc w:val="both"/>
      </w:pPr>
      <w:r>
        <w:rPr>
          <w:rFonts w:ascii="Times New Roman" w:hAnsi="Times New Roman"/>
          <w:sz w:val="20"/>
        </w:rPr>
        <w:t>The true value of a disaster dashboard lies in its real-time responsiveness. Traditional REST APIs are insufficient for the continuous stream of telemetry required to track a fast-moving UAV.</w:t>
      </w:r>
    </w:p>
    <w:p>
      <w:pPr>
        <w:jc w:val="center"/>
      </w:pPr>
      <w:r>
        <w:drawing>
          <wp:inline>
            <wp:extent cx="3017520" cy="1859008"/>
            <wp:docPr id="3" name="Picture 3"/>
            <wp:cNvGraphicFramePr>
              <a:graphicFrameLocks noChangeAspect="1"/>
            </wp:cNvGraphicFramePr>
            <a:graphic>
              <a:graphicData uri="http://schemas.openxmlformats.org/drawingml/2006/picture">
                <pic:pic>
                  <pic:nvPicPr>
                    <pic:cNvPr id="0" name="ws_flow.png"/>
                    <pic:cNvPicPr/>
                  </pic:nvPicPr>
                  <pic:blipFill>
                    <a:blip r:embed="rId12"/>
                    <a:stretch>
                      <a:fillRect/>
                    </a:stretch>
                  </pic:blipFill>
                  <pic:spPr>
                    <a:xfrm>
                      <a:off x="0" y="0"/>
                      <a:ext cx="3017520" cy="1859008"/>
                    </a:xfrm>
                    <a:prstGeom prst="rect"/>
                  </pic:spPr>
                </pic:pic>
              </a:graphicData>
            </a:graphic>
          </wp:inline>
        </w:drawing>
      </w:r>
    </w:p>
    <w:p>
      <w:pPr>
        <w:jc w:val="center"/>
      </w:pPr>
      <w:r>
        <w:rPr>
          <w:i/>
          <w:sz w:val="18"/>
        </w:rPr>
        <w:t>Fig. 3: Real-Time WebSocket Telemetry Flow</w:t>
      </w:r>
    </w:p>
    <w:p>
      <w:pPr>
        <w:pStyle w:val="Heading2"/>
        <w:jc w:val="left"/>
      </w:pPr>
      <w:r>
        <w:rPr>
          <w:rFonts w:ascii="Times New Roman" w:hAnsi="Times New Roman"/>
          <w:b/>
          <w:color w:val="000000"/>
          <w:sz w:val="20"/>
        </w:rPr>
        <w:t>A. WebSocket Synchronization</w:t>
      </w:r>
    </w:p>
    <w:p>
      <w:pPr>
        <w:jc w:val="both"/>
      </w:pPr>
      <w:r>
        <w:rPr>
          <w:rFonts w:ascii="Times New Roman" w:hAnsi="Times New Roman"/>
          <w:sz w:val="20"/>
        </w:rPr>
        <w:t>As illustrated in Fig. 3, Vayu Drishti implements a bidirectional WebSocket architecture using Django Channels and Redis Pub/Sub. When a UAV connects, it authenticates and begins pushing JSON payloads. The Django server acts as a broker, publishing these messages to the 'drone_telemetry' Redis group. The React frontend, connected via its own WebSocket instance, is subscribed to this group. This architecture achieves sub-100ms latency from drone transmission to dashboard rendering, ensuring the Command Center sees the drone's position in true real-time.</w:t>
      </w:r>
    </w:p>
    <w:p>
      <w:pPr>
        <w:pStyle w:val="Heading2"/>
        <w:jc w:val="left"/>
      </w:pPr>
      <w:r>
        <w:rPr>
          <w:rFonts w:ascii="Times New Roman" w:hAnsi="Times New Roman"/>
          <w:b/>
          <w:color w:val="000000"/>
          <w:sz w:val="20"/>
        </w:rPr>
        <w:t>B. Grid-Based A* Routing Engine</w:t>
      </w:r>
    </w:p>
    <w:p>
      <w:pPr>
        <w:jc w:val="both"/>
      </w:pPr>
      <w:r>
        <w:rPr>
          <w:rFonts w:ascii="Times New Roman" w:hAnsi="Times New Roman"/>
          <w:sz w:val="20"/>
        </w:rPr>
        <w:t>Beyond visualization, the system offers active operational guidance. The routing engine utilizes a Grid-based A* algorithm implemented via NetworkX and Shapely. It dynamically reads the damage polygons generated by the RescueNet model. To ensure the safety of ground rescue teams, the engine treats severe damage classes (e.g., collapsed structures, flooded areas) as impassable obstacles. It programmatically applies a 20-meter buffer zone around these hazards. The A* algorithm then calculates the shortest, safest path from a dispatch point to a detected survivor cluster, continuously updating the route if the drone detects new obstacles.</w:t>
      </w:r>
    </w:p>
    <w:p>
      <w:pPr>
        <w:pStyle w:val="Heading1"/>
        <w:jc w:val="center"/>
      </w:pPr>
      <w:r>
        <w:rPr>
          <w:rFonts w:ascii="Times New Roman" w:hAnsi="Times New Roman"/>
          <w:b/>
          <w:color w:val="000000"/>
          <w:sz w:val="24"/>
        </w:rPr>
        <w:t>V. EVALUATION STRATEGY AND RESULTS</w:t>
      </w:r>
    </w:p>
    <w:p>
      <w:pPr>
        <w:jc w:val="both"/>
      </w:pPr>
      <w:r>
        <w:rPr>
          <w:rFonts w:ascii="Times New Roman" w:hAnsi="Times New Roman"/>
          <w:sz w:val="20"/>
        </w:rPr>
        <w:t>The proposed system was rigorously evaluated across three domains: AI inference accuracy, end-to-end telemetry latency, and routing efficiency.</w:t>
      </w:r>
    </w:p>
    <w:p>
      <w:pPr>
        <w:jc w:val="both"/>
      </w:pPr>
      <w:r>
        <w:rPr>
          <w:rFonts w:ascii="Times New Roman" w:hAnsi="Times New Roman"/>
          <w:sz w:val="20"/>
        </w:rPr>
        <w:t>1) Model Performance: The YOLOv11n model demonstrated an 89.4% mean Average Precision (mAP) at an Intersection over Union (IoU) of 0.5 on the Heridal evaluation set. The RescueNet segmentation achieved a Mean IoU (mIoU) of 76.2% across 10 damage classes. Crucially, the concurrent execution of both models on a single Nvidia RTX 4090 GPU maintained a stable inference rate of 28 FPS, comfortably exceeding the 5 Hz (frames per second) minimum requirement for fluid situational awareness.</w:t>
      </w:r>
    </w:p>
    <w:p>
      <w:pPr>
        <w:jc w:val="both"/>
      </w:pPr>
      <w:r>
        <w:rPr>
          <w:rFonts w:ascii="Times New Roman" w:hAnsi="Times New Roman"/>
          <w:sz w:val="20"/>
        </w:rPr>
        <w:t>2) System Latency: Load testing of the WebSocket architecture revealed that with 5 simulated drones broadcasting telemetry at 10 Hz, the Redis Pub/Sub backend maintained an average message delivery latency of just 42 milliseconds to the connected CesiumJS client.</w:t>
      </w:r>
    </w:p>
    <w:p>
      <w:pPr>
        <w:jc w:val="both"/>
      </w:pPr>
      <w:r>
        <w:rPr>
          <w:rFonts w:ascii="Times New Roman" w:hAnsi="Times New Roman"/>
          <w:sz w:val="20"/>
        </w:rPr>
        <w:t>3) Routing Efficiency: In simulated disaster environments, the Grid-based A* engine successfully computed 2-kilometer safe paths in an average of 1.2 seconds. The dynamic application of the 20-meter hazard buffers proved highly effective, completely preventing generated paths from intersecting with areas classified as impassable by the segmentation model.</w:t>
      </w:r>
    </w:p>
    <w:p>
      <w:pPr>
        <w:pStyle w:val="Heading1"/>
        <w:jc w:val="center"/>
      </w:pPr>
      <w:r>
        <w:rPr>
          <w:rFonts w:ascii="Times New Roman" w:hAnsi="Times New Roman"/>
          <w:b/>
          <w:color w:val="000000"/>
          <w:sz w:val="24"/>
        </w:rPr>
        <w:t>VI. CONCLUSION</w:t>
      </w:r>
    </w:p>
    <w:p>
      <w:pPr>
        <w:jc w:val="both"/>
      </w:pPr>
      <w:r>
        <w:rPr>
          <w:rFonts w:ascii="Times New Roman" w:hAnsi="Times New Roman"/>
          <w:sz w:val="20"/>
        </w:rPr>
        <w:t>The Vayu Drishti framework successfully integrates edge-based drone reconnaissance with powerful, centralized AI processing to create an unparalleled real-time disaster assessment tool. By leveraging the speed of YOLOv11n and the detail of RescueNet within an asynchronous WebSocket architecture, we deliver a 3D digital twin of a disaster zone that is both highly accurate and instantly responsive. The addition of dynamic, hazard-aware routing elevates the system from a passive monitoring dashboard to an active command and control asset. Future iterations will focus on transitioning the inference models directly onto edge TPUs aboard the UAVs to further decrease bandwidth reliance in disconnected disaster environments.</w:t>
      </w:r>
    </w:p>
    <w:p>
      <w:pPr>
        <w:pStyle w:val="Heading1"/>
        <w:jc w:val="center"/>
      </w:pPr>
      <w:r>
        <w:rPr>
          <w:rFonts w:ascii="Times New Roman" w:hAnsi="Times New Roman"/>
          <w:b/>
          <w:color w:val="000000"/>
          <w:sz w:val="24"/>
        </w:rPr>
        <w:t>REFERENCES</w:t>
      </w:r>
    </w:p>
    <w:p>
      <w:pPr>
        <w:jc w:val="both"/>
      </w:pPr>
      <w:r>
        <w:rPr>
          <w:rFonts w:ascii="Times New Roman" w:hAnsi="Times New Roman"/>
          <w:sz w:val="20"/>
        </w:rPr>
        <w:t>[1] J. Redmon, S. Divvala, R. Girshick, and A. Farhadi, "You Only Look Once: Unified, Real-Time Object Detection," in CVPR, 2016.</w:t>
      </w:r>
    </w:p>
    <w:p>
      <w:pPr>
        <w:jc w:val="both"/>
      </w:pPr>
      <w:r>
        <w:rPr>
          <w:rFonts w:ascii="Times New Roman" w:hAnsi="Times New Roman"/>
          <w:sz w:val="20"/>
        </w:rPr>
        <w:t>[2] C. Wang, A. Bochkovskiy, and H. Y. M. Liao, "YOLOv7: Trainable bag-of-freebies sets new state-of-the-art for real-time object detectors," in CVPR, 2023.</w:t>
      </w:r>
    </w:p>
    <w:p>
      <w:pPr>
        <w:jc w:val="both"/>
      </w:pPr>
      <w:r>
        <w:rPr>
          <w:rFonts w:ascii="Times New Roman" w:hAnsi="Times New Roman"/>
          <w:sz w:val="20"/>
        </w:rPr>
        <w:t>[3] N. Božić-Štulić, Ž. Marušić, and S. Gotovac, "Deep learning approach in aerial imagery for search and rescue applications in nature," Heridal Dataset, 2019.</w:t>
      </w:r>
    </w:p>
    <w:p>
      <w:pPr>
        <w:jc w:val="both"/>
      </w:pPr>
      <w:r>
        <w:rPr>
          <w:rFonts w:ascii="Times New Roman" w:hAnsi="Times New Roman"/>
          <w:sz w:val="20"/>
        </w:rPr>
        <w:t>[4] S. M. Azimi, "RescueNet: A High Resolution UAV Semantic Segmentation Dataset for Natural Disaster Damage Assessment," in arXiv:2003.11181, 2020.</w:t>
      </w:r>
    </w:p>
    <w:p>
      <w:pPr>
        <w:jc w:val="both"/>
      </w:pPr>
      <w:r>
        <w:rPr>
          <w:rFonts w:ascii="Times New Roman" w:hAnsi="Times New Roman"/>
          <w:sz w:val="20"/>
        </w:rPr>
        <w:t>[5] P. E. Hart, N. J. Nilsson, and B. Raphael, "A Formal Basis for the Heuristic Determination of Minimum Cost Paths," IEEE Transactions on Systems Science and Cybernetics, vol. 4, no. 2, pp. 100-107, 1068.</w:t>
      </w:r>
    </w:p>
    <w:sectPr>
      <w:type w:val="continuous"/>
      <w:pgSz w:h="16838" w:w="11906" w:orient="portrait"/>
      <w:pgMar w:bottom="1440" w:top="1080" w:left="893" w:right="893" w:header="720" w:footer="720"/>
      <w:cols w:num="2" w:space="708" w:equalWidth="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upperRoman"/>
      <w:lvlText w:val="%1."/>
      <w:lvlJc w:val="center"/>
      <w:pPr>
        <w:ind w:left="0" w:firstLine="216"/>
      </w:pPr>
      <w:rPr>
        <w:rFonts w:ascii="Times New Roman" w:cs="Times New Roman" w:eastAsia="Times New Roman" w:hAnsi="Times New Roman"/>
        <w:smallCaps w:val="0"/>
        <w:strike w:val="0"/>
        <w:color w:val="000000"/>
        <w:sz w:val="20"/>
        <w:szCs w:val="20"/>
        <w:vertAlign w:val="baseline"/>
      </w:rPr>
    </w:lvl>
    <w:lvl w:ilvl="1">
      <w:start w:val="1"/>
      <w:numFmt w:val="upperLetter"/>
      <w:lvlText w:val="%2."/>
      <w:lvlJc w:val="left"/>
      <w:pPr>
        <w:ind w:left="288" w:hanging="288"/>
      </w:pPr>
      <w:rPr>
        <w:rFonts w:ascii="Times New Roman" w:cs="Times New Roman" w:eastAsia="Times New Roman" w:hAnsi="Times New Roman"/>
        <w:b w:val="0"/>
        <w:bCs w:val="0"/>
        <w:i w:val="1"/>
        <w:iCs w:val="1"/>
        <w:smallCaps w:val="0"/>
        <w:strike w:val="0"/>
        <w:color w:val="000000"/>
        <w:sz w:val="20"/>
        <w:szCs w:val="20"/>
        <w:vertAlign w:val="baseline"/>
      </w:rPr>
    </w:lvl>
    <w:lvl w:ilvl="2">
      <w:start w:val="1"/>
      <w:numFmt w:val="decimal"/>
      <w:lvlText w:val="%3)"/>
      <w:lvlJc w:val="left"/>
      <w:pPr>
        <w:ind w:left="0" w:firstLine="180"/>
      </w:pPr>
      <w:rPr>
        <w:rFonts w:ascii="Times New Roman" w:cs="Times New Roman" w:eastAsia="Times New Roman" w:hAnsi="Times New Roman"/>
        <w:b w:val="0"/>
        <w:bCs w:val="0"/>
        <w:i w:val="1"/>
        <w:iCs w:val="1"/>
        <w:smallCaps w:val="0"/>
        <w:strike w:val="0"/>
        <w:color w:val="000000"/>
        <w:sz w:val="20"/>
        <w:szCs w:val="20"/>
        <w:vertAlign w:val="baseline"/>
      </w:rPr>
    </w:lvl>
    <w:lvl w:ilvl="3">
      <w:start w:val="1"/>
      <w:numFmt w:val="lowerLetter"/>
      <w:lvlText w:val="%4)"/>
      <w:lvlJc w:val="left"/>
      <w:pPr>
        <w:ind w:left="0" w:firstLine="360"/>
      </w:pPr>
      <w:rPr>
        <w:rFonts w:ascii="Times New Roman" w:cs="Times New Roman" w:eastAsia="Times New Roman" w:hAnsi="Times New Roman"/>
        <w:b w:val="0"/>
        <w:bCs w:val="0"/>
        <w:i w:val="1"/>
        <w:iCs w:val="1"/>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jc w:val="center"/>
    </w:pPr>
    <w:rPr>
      <w:smallCaps w:val="1"/>
      <w:vertAlign w:val="baseline"/>
    </w:rPr>
  </w:style>
  <w:style w:type="paragraph" w:styleId="Heading2">
    <w:name w:val="heading 2"/>
    <w:basedOn w:val="Normal"/>
    <w:next w:val="Normal"/>
    <w:pPr>
      <w:keepNext w:val="1"/>
      <w:keepLines w:val="1"/>
      <w:spacing w:after="60" w:before="120" w:lineRule="auto"/>
      <w:ind w:left="288" w:hanging="288"/>
      <w:jc w:val="left"/>
    </w:pPr>
    <w:rPr>
      <w:i w:val="1"/>
      <w:iCs w:val="1"/>
      <w:vertAlign w:val="baseline"/>
    </w:rPr>
  </w:style>
  <w:style w:type="paragraph" w:styleId="Heading3">
    <w:name w:val="heading 3"/>
    <w:basedOn w:val="Normal"/>
    <w:next w:val="Normal"/>
    <w:pPr>
      <w:ind w:left="0" w:firstLine="288"/>
      <w:jc w:val="both"/>
    </w:pPr>
    <w:rPr>
      <w:i w:val="1"/>
      <w:iCs w:val="1"/>
      <w:vertAlign w:val="baseline"/>
    </w:rPr>
  </w:style>
  <w:style w:type="paragraph" w:styleId="Heading4">
    <w:name w:val="heading 4"/>
    <w:basedOn w:val="Normal"/>
    <w:next w:val="Normal"/>
    <w:pPr>
      <w:tabs>
        <w:tab w:val="left" w:leader="none" w:pos="720"/>
      </w:tabs>
      <w:spacing w:after="40" w:before="40" w:lineRule="auto"/>
      <w:ind w:left="0" w:firstLine="504"/>
      <w:jc w:val="both"/>
    </w:pPr>
    <w:rPr>
      <w:i w:val="1"/>
      <w:iCs w:val="1"/>
      <w:vertAlign w:val="baseline"/>
    </w:rPr>
  </w:style>
  <w:style w:type="paragraph" w:styleId="Heading5">
    <w:name w:val="heading 5"/>
    <w:basedOn w:val="Normal"/>
    <w:next w:val="Normal"/>
    <w:pPr>
      <w:tabs>
        <w:tab w:val="left" w:leader="none" w:pos="360"/>
      </w:tabs>
      <w:spacing w:after="80" w:before="160" w:lineRule="auto"/>
      <w:jc w:val="center"/>
    </w:pPr>
    <w:rPr>
      <w:smallCaps w:val="1"/>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samudralaamogh16@gmail.com" TargetMode="Externa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mailto:hariharan.gonela25@gmail.com" TargetMode="External"/><Relationship Id="rId8" Type="http://schemas.openxmlformats.org/officeDocument/2006/relationships/hyperlink" Target="mailto:saatviksai05@gmail.com"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