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94A3B8"/>
          <w:sz w:val="20"/>
        </w:rPr>
        <w:t>NOVO NORDISK GBS HACKATHON 2026 — PRE-FINALE REVIEW RESPONSE</w:t>
      </w:r>
    </w:p>
    <w:p>
      <w:pPr>
        <w:spacing w:after="80"/>
      </w:pPr>
      <w:r>
        <w:rPr>
          <w:rFonts w:ascii="Calibri" w:hAnsi="Calibri"/>
          <w:b/>
          <w:color w:val="00205B"/>
          <w:sz w:val="56"/>
        </w:rPr>
        <w:t>PayerLens AI</w:t>
      </w:r>
    </w:p>
    <w:p>
      <w:pPr>
        <w:spacing w:after="280"/>
      </w:pPr>
      <w:r>
        <w:rPr>
          <w:rFonts w:ascii="Calibri" w:hAnsi="Calibri"/>
          <w:color w:val="475569"/>
          <w:sz w:val="30"/>
        </w:rPr>
        <w:t>Scoring Methodology, Rationale &amp; Assumptions</w:t>
      </w:r>
    </w:p>
    <w:p>
      <w:pPr>
        <w:spacing w:after="160"/>
      </w:pPr>
      <w:r>
        <w:rPr>
          <w:rFonts w:ascii="Calibri" w:hAnsi="Calibri"/>
          <w:i/>
          <w:color w:val="94A3B8"/>
          <w:sz w:val="19"/>
        </w:rPr>
        <w:t>Team Chamrajpet · International Institute of Information Technology Bangalore · Amogh Gurudatta, Surya Kiran Basava, Saaket Ajay Manjrekar, Kedar Mallya, Vamshidhar Vagish</w:t>
      </w:r>
    </w:p>
    <w:p>
      <w:pPr>
        <w:spacing w:after="160"/>
      </w:pPr>
      <w:r>
        <w:rPr>
          <w:rFonts w:ascii="Calibri" w:hAnsi="Calibri"/>
          <w:i/>
          <w:color w:val="475569"/>
          <w:sz w:val="20"/>
        </w:rPr>
        <w:t>This document responds directly to the reviewers' request for the rationale, assumptions, and logic underpinning PayerLens AI's scoring matrix, and for the working files behind it. It supersedes the brief formula reference in our submitted deck with a fully reconciled, traceable breakdown, and is intended to be read alongside the working source files listed in Section 8.</w:t>
      </w:r>
    </w:p>
    <w:p>
      <w:pPr>
        <w:keepNext/>
        <w:spacing w:before="360" w:after="120"/>
        <w:pBdr>
          <w:bottom w:val="single" w:sz="6" w:space="4" w:color="E2E8F0"/>
        </w:pBdr>
      </w:pPr>
      <w:r>
        <w:rPr>
          <w:rFonts w:ascii="Calibri" w:hAnsi="Calibri"/>
          <w:b/>
          <w:color w:val="00205B"/>
          <w:sz w:val="34"/>
        </w:rPr>
        <w:t>1. Overview: A Two-Layer Scoring Architecture</w:t>
      </w:r>
    </w:p>
    <w:p>
      <w:pPr>
        <w:spacing w:after="160"/>
      </w:pPr>
      <w:r>
        <w:rPr>
          <w:rFonts w:ascii="Calibri" w:hAnsi="Calibri"/>
          <w:i w:val="0"/>
          <w:color w:val="0F172A"/>
          <w:sz w:val="21"/>
        </w:rPr>
        <w:t>PayerLens AI's reimbursement-probability score is produced by two layers working together, not a single black-box number:</w:t>
      </w:r>
    </w:p>
    <w:p>
      <w:pPr>
        <w:pStyle w:val="ListBullet"/>
        <w:spacing w:after="100"/>
      </w:pPr>
      <w:r>
        <w:rPr>
          <w:rFonts w:ascii="Calibri" w:hAnsi="Calibri"/>
          <w:b/>
          <w:color w:val="00205B"/>
          <w:sz w:val="21"/>
        </w:rPr>
        <w:t>Layer 1 — the calibrated 7-factor rubric.</w:t>
      </w:r>
      <w:r>
        <w:rPr>
          <w:rFonts w:ascii="Calibri" w:hAnsi="Calibri"/>
          <w:color w:val="0F172A"/>
          <w:sz w:val="21"/>
        </w:rPr>
        <w:t xml:space="preserve"> A structured, expert-reasoned decomposition used to set and justify a country-specific baseline access probability for each of five historical drug-precedent scenarios, grounded in real HTA rulings (NICE Technology Appraisals, G-BA §35a resolutions, HAS ASMR/SMR opinions). This is the “scoring matrix” referenced in our deck.</w:t>
      </w:r>
    </w:p>
    <w:p>
      <w:pPr>
        <w:pStyle w:val="ListBullet"/>
        <w:spacing w:after="100"/>
      </w:pPr>
      <w:r>
        <w:rPr>
          <w:rFonts w:ascii="Calibri" w:hAnsi="Calibri"/>
          <w:b/>
          <w:color w:val="00205B"/>
          <w:sz w:val="21"/>
        </w:rPr>
        <w:t>Layer 2 — two computational engines built on top of it, not equal partners.</w:t>
      </w:r>
      <w:r>
        <w:rPr>
          <w:rFonts w:ascii="Calibri" w:hAnsi="Calibri"/>
          <w:color w:val="0F172A"/>
          <w:sz w:val="21"/>
        </w:rPr>
        <w:t xml:space="preserve"> (a) a calibrated machine-learning ensemble trained on 1,452 real and curated historical HTA records — this is what actually computes the score shown whenever our hosted backend is reachable; and (b) a documented, fully deterministic Multi-Criteria Decision Model (MCDM) that adjusts the Layer-1 baseline live as price and diagnostic assumptions change — this is the offline fallback, used only when the ML backend is unreachable. Section 1.2 explains why we kept both.</w:t>
      </w:r>
    </w:p>
    <w:p>
      <w:pPr>
        <w:spacing w:after="160"/>
      </w:pPr>
      <w:r>
        <w:rPr>
          <w:rFonts w:ascii="Calibri" w:hAnsi="Calibri"/>
          <w:i w:val="0"/>
          <w:color w:val="0F172A"/>
          <w:sz w:val="21"/>
        </w:rPr>
        <w:t>Sections 2–4 document Layer 1 in full, including a correction we made to our own original matrix (found while preparing this response) so every number now reconciles exactly. Sections 5–6 document Layer 2, which is what actually runs in the deployed application.</w:t>
      </w:r>
    </w:p>
    <w:p>
      <w:pPr>
        <w:keepNext/>
        <w:spacing w:before="240" w:after="80"/>
      </w:pPr>
      <w:r>
        <w:rPr>
          <w:rFonts w:ascii="Calibri" w:hAnsi="Calibri"/>
          <w:b/>
          <w:color w:val="00205B"/>
          <w:sz w:val="26"/>
        </w:rPr>
        <w:t>1.1 A Note on Scenario Naming (What Changed Since Our First Submission)</w:t>
      </w:r>
    </w:p>
    <w:p>
      <w:pPr>
        <w:spacing w:after="160"/>
      </w:pPr>
      <w:r>
        <w:rPr>
          <w:rFonts w:ascii="Calibri" w:hAnsi="Calibri"/>
          <w:i w:val="0"/>
          <w:color w:val="0F172A"/>
          <w:sz w:val="21"/>
        </w:rPr>
        <w:t>The underlying business question has not changed: we are still evaluating launch strategies for a hypothetical, novel-mechanism heart-failure therapy — no such drug exists yet, so no patient-level trial data for it exists either. What has changed is how we label the five patient-positioning scenarios that this hypothetical therapy could adopt at launch.</w:t>
      </w:r>
    </w:p>
    <w:p>
      <w:pPr>
        <w:spacing w:after="160"/>
      </w:pPr>
      <w:r>
        <w:rPr>
          <w:rFonts w:ascii="Calibri" w:hAnsi="Calibri"/>
          <w:i w:val="0"/>
          <w:color w:val="0F172A"/>
          <w:sz w:val="21"/>
        </w:rPr>
        <w:t>Our first submission (the Scenario Evaluation Matrix reviewers already have) named these five scenarios generically — “Scenario D: Biomarker-Defined High Risk,” “Scenario A: Broad Heart Failure Population,” and so on. Each was already being calibrated against a real historical precedent behind the scenes, but that precedent was not named. Since then we made that attribution explicit: each scenario is now labelled with the closest real, already-approved heart-failure drug that used an analogous positioning strategy, so every baseline number in Section 3 traces to a specific, citable HTA ruling rather than an unnamed “historical precedent.” This is a traceability upgrade, not a change to the scores, the formula, or the business question — the table below shows the exact correspondence, and every calibrated percentage is identical to our original submission.</w:t>
      </w:r>
    </w:p>
    <w:tbl>
      <w:tblPr>
        <w:tblStyle w:val="TableGrid"/>
        <w:tblW w:type="dxa" w:w="9216"/>
        <w:jc w:val="center"/>
        <w:tblLayout w:type="fixed"/>
        <w:tblLook w:firstColumn="1" w:firstRow="1" w:lastColumn="0" w:lastRow="0" w:noHBand="0" w:noVBand="1" w:val="04A0"/>
        <w:tblLayout w:type="fixed"/>
      </w:tblPr>
      <w:tblGrid>
        <w:gridCol w:w="792"/>
        <w:gridCol w:w="3528"/>
        <w:gridCol w:w="4896"/>
      </w:tblGrid>
      <w:tr>
        <w:tc>
          <w:tcPr>
            <w:tcW w:type="dxa" w:w="792"/>
            <w:shd w:fill="00205B"/>
          </w:tcPr>
          <w:p>
            <w:r/>
            <w:r>
              <w:rPr>
                <w:rFonts w:ascii="Calibri" w:hAnsi="Calibri"/>
                <w:b/>
                <w:color w:val="FFFFFF"/>
                <w:sz w:val="19"/>
              </w:rPr>
              <w:t>Scenario</w:t>
            </w:r>
          </w:p>
        </w:tc>
        <w:tc>
          <w:tcPr>
            <w:tcW w:type="dxa" w:w="3528"/>
            <w:shd w:fill="00205B"/>
          </w:tcPr>
          <w:p>
            <w:r/>
            <w:r>
              <w:rPr>
                <w:rFonts w:ascii="Calibri" w:hAnsi="Calibri"/>
                <w:b/>
                <w:color w:val="FFFFFF"/>
                <w:sz w:val="19"/>
              </w:rPr>
              <w:t>Original label (first submission)</w:t>
            </w:r>
          </w:p>
        </w:tc>
        <w:tc>
          <w:tcPr>
            <w:tcW w:type="dxa" w:w="4896"/>
            <w:shd w:fill="00205B"/>
          </w:tcPr>
          <w:p>
            <w:r/>
            <w:r>
              <w:rPr>
                <w:rFonts w:ascii="Calibri" w:hAnsi="Calibri"/>
                <w:b/>
                <w:color w:val="FFFFFF"/>
                <w:sz w:val="19"/>
              </w:rPr>
              <w:t>Current label (this response)</w:t>
            </w:r>
          </w:p>
        </w:tc>
      </w:tr>
      <w:tr>
        <w:tc>
          <w:tcPr>
            <w:tcW w:type="dxa" w:w="792"/>
          </w:tcPr>
          <w:p>
            <w:r/>
            <w:r>
              <w:rPr>
                <w:rFonts w:ascii="Calibri" w:hAnsi="Calibri"/>
                <w:b w:val="0"/>
                <w:color w:val="0F172A"/>
                <w:sz w:val="19"/>
              </w:rPr>
              <w:t>D</w:t>
            </w:r>
          </w:p>
        </w:tc>
        <w:tc>
          <w:tcPr>
            <w:tcW w:type="dxa" w:w="3528"/>
          </w:tcPr>
          <w:p>
            <w:r/>
            <w:r>
              <w:rPr>
                <w:rFonts w:ascii="Calibri" w:hAnsi="Calibri"/>
                <w:b w:val="0"/>
                <w:color w:val="0F172A"/>
                <w:sz w:val="19"/>
              </w:rPr>
              <w:t>Biomarker-Defined High Risk</w:t>
            </w:r>
          </w:p>
        </w:tc>
        <w:tc>
          <w:tcPr>
            <w:tcW w:type="dxa" w:w="4896"/>
          </w:tcPr>
          <w:p>
            <w:r/>
            <w:r>
              <w:rPr>
                <w:rFonts w:ascii="Calibri" w:hAnsi="Calibri"/>
                <w:b w:val="0"/>
                <w:color w:val="0F172A"/>
                <w:sz w:val="19"/>
              </w:rPr>
              <w:t>Farxiga (Dapagliflozin) — Biomarker-Defined High Risk</w:t>
            </w:r>
          </w:p>
        </w:tc>
      </w:tr>
      <w:tr>
        <w:tc>
          <w:tcPr>
            <w:tcW w:type="dxa" w:w="792"/>
          </w:tcPr>
          <w:p>
            <w:r/>
            <w:r>
              <w:rPr>
                <w:rFonts w:ascii="Calibri" w:hAnsi="Calibri"/>
                <w:b w:val="0"/>
                <w:color w:val="0F172A"/>
                <w:sz w:val="19"/>
              </w:rPr>
              <w:t>C</w:t>
            </w:r>
          </w:p>
        </w:tc>
        <w:tc>
          <w:tcPr>
            <w:tcW w:type="dxa" w:w="3528"/>
          </w:tcPr>
          <w:p>
            <w:r/>
            <w:r>
              <w:rPr>
                <w:rFonts w:ascii="Calibri" w:hAnsi="Calibri"/>
                <w:b w:val="0"/>
                <w:color w:val="0F172A"/>
                <w:sz w:val="19"/>
              </w:rPr>
              <w:t>Frequent Hospitalisation History</w:t>
            </w:r>
          </w:p>
        </w:tc>
        <w:tc>
          <w:tcPr>
            <w:tcW w:type="dxa" w:w="4896"/>
          </w:tcPr>
          <w:p>
            <w:r/>
            <w:r>
              <w:rPr>
                <w:rFonts w:ascii="Calibri" w:hAnsi="Calibri"/>
                <w:b w:val="0"/>
                <w:color w:val="0F172A"/>
                <w:sz w:val="19"/>
              </w:rPr>
              <w:t>Verquvo (Vericiguat) — Recent Hospitalisation / Post-Worsening HF</w:t>
            </w:r>
          </w:p>
        </w:tc>
      </w:tr>
      <w:tr>
        <w:tc>
          <w:tcPr>
            <w:tcW w:type="dxa" w:w="792"/>
          </w:tcPr>
          <w:p>
            <w:r/>
            <w:r>
              <w:rPr>
                <w:rFonts w:ascii="Calibri" w:hAnsi="Calibri"/>
                <w:b w:val="0"/>
                <w:color w:val="0F172A"/>
                <w:sz w:val="19"/>
              </w:rPr>
              <w:t>B</w:t>
            </w:r>
          </w:p>
        </w:tc>
        <w:tc>
          <w:tcPr>
            <w:tcW w:type="dxa" w:w="3528"/>
          </w:tcPr>
          <w:p>
            <w:r/>
            <w:r>
              <w:rPr>
                <w:rFonts w:ascii="Calibri" w:hAnsi="Calibri"/>
                <w:b w:val="0"/>
                <w:color w:val="0F172A"/>
                <w:sz w:val="19"/>
              </w:rPr>
              <w:t>High Risk Despite Standard of Care</w:t>
            </w:r>
          </w:p>
        </w:tc>
        <w:tc>
          <w:tcPr>
            <w:tcW w:type="dxa" w:w="4896"/>
          </w:tcPr>
          <w:p>
            <w:r/>
            <w:r>
              <w:rPr>
                <w:rFonts w:ascii="Calibri" w:hAnsi="Calibri"/>
                <w:b w:val="0"/>
                <w:color w:val="0F172A"/>
                <w:sz w:val="19"/>
              </w:rPr>
              <w:t>Entresto (Sacubitril/Valsartan) — Persistent Symptoms Post-SoC</w:t>
            </w:r>
          </w:p>
        </w:tc>
      </w:tr>
      <w:tr>
        <w:tc>
          <w:tcPr>
            <w:tcW w:type="dxa" w:w="792"/>
          </w:tcPr>
          <w:p>
            <w:r/>
            <w:r>
              <w:rPr>
                <w:rFonts w:ascii="Calibri" w:hAnsi="Calibri"/>
                <w:b w:val="0"/>
                <w:color w:val="0F172A"/>
                <w:sz w:val="19"/>
              </w:rPr>
              <w:t>E</w:t>
            </w:r>
          </w:p>
        </w:tc>
        <w:tc>
          <w:tcPr>
            <w:tcW w:type="dxa" w:w="3528"/>
          </w:tcPr>
          <w:p>
            <w:r/>
            <w:r>
              <w:rPr>
                <w:rFonts w:ascii="Calibri" w:hAnsi="Calibri"/>
                <w:b w:val="0"/>
                <w:color w:val="0F172A"/>
                <w:sz w:val="19"/>
              </w:rPr>
              <w:t>Later-Line / Severe Unmet Need</w:t>
            </w:r>
          </w:p>
        </w:tc>
        <w:tc>
          <w:tcPr>
            <w:tcW w:type="dxa" w:w="4896"/>
          </w:tcPr>
          <w:p>
            <w:r/>
            <w:r>
              <w:rPr>
                <w:rFonts w:ascii="Calibri" w:hAnsi="Calibri"/>
                <w:b w:val="0"/>
                <w:color w:val="0F172A"/>
                <w:sz w:val="19"/>
              </w:rPr>
              <w:t>Jardiance (Empagliflozin) — Severe Unmet Need / Advanced NYHA III–IV</w:t>
            </w:r>
          </w:p>
        </w:tc>
      </w:tr>
      <w:tr>
        <w:tc>
          <w:tcPr>
            <w:tcW w:type="dxa" w:w="792"/>
          </w:tcPr>
          <w:p>
            <w:r/>
            <w:r>
              <w:rPr>
                <w:rFonts w:ascii="Calibri" w:hAnsi="Calibri"/>
                <w:b w:val="0"/>
                <w:color w:val="0F172A"/>
                <w:sz w:val="19"/>
              </w:rPr>
              <w:t>A</w:t>
            </w:r>
          </w:p>
        </w:tc>
        <w:tc>
          <w:tcPr>
            <w:tcW w:type="dxa" w:w="3528"/>
          </w:tcPr>
          <w:p>
            <w:r/>
            <w:r>
              <w:rPr>
                <w:rFonts w:ascii="Calibri" w:hAnsi="Calibri"/>
                <w:b w:val="0"/>
                <w:color w:val="0F172A"/>
                <w:sz w:val="19"/>
              </w:rPr>
              <w:t>Broad Heart Failure Population</w:t>
            </w:r>
          </w:p>
        </w:tc>
        <w:tc>
          <w:tcPr>
            <w:tcW w:type="dxa" w:w="4896"/>
          </w:tcPr>
          <w:p>
            <w:r/>
            <w:r>
              <w:rPr>
                <w:rFonts w:ascii="Calibri" w:hAnsi="Calibri"/>
                <w:b w:val="0"/>
                <w:color w:val="0F172A"/>
                <w:sz w:val="19"/>
              </w:rPr>
              <w:t>Broad Class Precedent — Broad Unselected HF Population</w:t>
            </w:r>
          </w:p>
        </w:tc>
      </w:tr>
    </w:tbl>
    <w:p>
      <w:pPr>
        <w:spacing w:after="80"/>
      </w:pPr>
    </w:p>
    <w:p>
      <w:pPr>
        <w:spacing w:after="160"/>
      </w:pPr>
      <w:r>
        <w:rPr>
          <w:rFonts w:ascii="Calibri" w:hAnsi="Calibri"/>
          <w:i/>
          <w:color w:val="475569"/>
          <w:sz w:val="19"/>
        </w:rPr>
        <w:t>We name the real drug because each one's actual NICE/G-BA/HAS ruling is exactly what calibrates that scenario's baseline probability in Table 2 (Section 3) — the name is the citation, not a claim that we are evaluating that existing drug itself.</w:t>
      </w:r>
    </w:p>
    <w:p>
      <w:pPr>
        <w:keepNext/>
        <w:spacing w:before="240" w:after="80"/>
      </w:pPr>
      <w:r>
        <w:rPr>
          <w:rFonts w:ascii="Calibri" w:hAnsi="Calibri"/>
          <w:b/>
          <w:color w:val="00205B"/>
          <w:sz w:val="26"/>
        </w:rPr>
        <w:t>1.2 A Note on the Deterministic Formula vs. the ML Model (What Else Changed)</w:t>
      </w:r>
    </w:p>
    <w:p>
      <w:pPr>
        <w:spacing w:after="160"/>
      </w:pPr>
      <w:r>
        <w:rPr>
          <w:rFonts w:ascii="Calibri" w:hAnsi="Calibri"/>
          <w:i w:val="0"/>
          <w:color w:val="0F172A"/>
          <w:sz w:val="21"/>
        </w:rPr>
        <w:t>Our first submission computed reimbursement probability with only the deterministic formula in Section 2 — every number in that PDF and in the HTML simulator prototype came from the fixed arithmetic (P + U + C + A + F + E) - (G_impl + G_evid), fully hand-auditable and reproducible with a calculator. Since then we added a second, independent computational layer: the calibrated machine-learning ensemble described in Section 6, trained on 1,452 real and curated historical HTA records. We did not remove the deterministic formula — we kept it and added the ML model alongside it, specifically so the application is never dependent on a live service to produce an answer.</w:t>
      </w:r>
    </w:p>
    <w:p>
      <w:pPr>
        <w:spacing w:after="160"/>
      </w:pPr>
      <w:r>
        <w:rPr>
          <w:rFonts w:ascii="Calibri" w:hAnsi="Calibri"/>
          <w:i w:val="0"/>
          <w:color w:val="0F172A"/>
          <w:sz w:val="21"/>
        </w:rPr>
        <w:t>The two are not equal partners in the running application, and we want to state the precedence precisely rather than leave it implied: whenever the FastAPI ML backend is reachable, the PayerLens dashboard shows the ML model's live prediction (Section 6), with only the companion-diagnostic penalty layered on top of it. The deterministic MCDM formula (Section 5) is the fallback — it runs, and is shown instead, only when the ML backend cannot be reached (for example during a cold start on our free hosting tier). Section 5 is written up first in this document because it is the simpler, fully transparent engine to explain, not because it is the one a user sees most often when the system is fully online.</w:t>
      </w:r>
    </w:p>
    <w:p>
      <w:pPr>
        <w:pStyle w:val="ListBullet"/>
        <w:spacing w:after="100"/>
      </w:pPr>
      <w:r>
        <w:rPr>
          <w:rFonts w:ascii="Calibri" w:hAnsi="Calibri"/>
          <w:b/>
          <w:color w:val="00205B"/>
          <w:sz w:val="21"/>
        </w:rPr>
        <w:t>Why keep both rather than switch outright:</w:t>
      </w:r>
      <w:r>
        <w:rPr>
          <w:rFonts w:ascii="Calibri" w:hAnsi="Calibri"/>
          <w:color w:val="0F172A"/>
          <w:sz w:val="21"/>
        </w:rPr>
        <w:t xml:space="preserve"> the deterministic formula is 100% explainable and has zero external dependency, which matters for an application meant to produce an auditable number even if a hosted service is down; the ML model is what lets the score actually learn from and generalise across 1,452 real appraisal records instead of five hand-picked precedents.</w:t>
      </w:r>
    </w:p>
    <w:p>
      <w:pPr>
        <w:pStyle w:val="ListBullet"/>
        <w:spacing w:after="100"/>
      </w:pPr>
      <w:r>
        <w:rPr>
          <w:rFonts w:ascii="Calibri" w:hAnsi="Calibri"/>
          <w:b/>
          <w:color w:val="00205B"/>
          <w:sz w:val="21"/>
        </w:rPr>
        <w:t>What is identical either way:</w:t>
      </w:r>
      <w:r>
        <w:rPr>
          <w:rFonts w:ascii="Calibri" w:hAnsi="Calibri"/>
          <w:color w:val="0F172A"/>
          <w:sz w:val="21"/>
        </w:rPr>
        <w:t xml:space="preserve"> both engines are anchored to the same Section 2 baseline logic and the same real HTA citations — the ML model was not trained independently of that reasoning, it was trained on records assembled using the same provenance categories (Section 6).</w:t>
      </w:r>
    </w:p>
    <w:p>
      <w:pPr>
        <w:keepNext/>
        <w:spacing w:before="360" w:after="120"/>
        <w:pBdr>
          <w:bottom w:val="single" w:sz="6" w:space="4" w:color="E2E8F0"/>
        </w:pBdr>
      </w:pPr>
      <w:r>
        <w:rPr>
          <w:rFonts w:ascii="Calibri" w:hAnsi="Calibri"/>
          <w:b/>
          <w:color w:val="00205B"/>
          <w:sz w:val="34"/>
        </w:rPr>
        <w:t>2. The Reimbursement Potential Score (Layer 1)</w:t>
      </w:r>
    </w:p>
    <w:p>
      <w:pPr>
        <w:spacing w:after="160"/>
      </w:pPr>
      <w:r>
        <w:rPr>
          <w:rFonts w:ascii="Calibri" w:hAnsi="Calibri"/>
          <w:i w:val="0"/>
          <w:color w:val="0F172A"/>
          <w:sz w:val="21"/>
        </w:rPr>
        <w:t>Each historical-precedent scenario is scored against seven factors, combined as:</w:t>
      </w:r>
    </w:p>
    <w:p>
      <w:pPr>
        <w:spacing w:before="200" w:after="200"/>
        <w:jc w:val="center"/>
        <w:shd w:fill="F8FAFC"/>
        <w:pBdr>
          <w:top w:val="single" w:sz="4" w:space="8" w:color="E2E8F0"/>
          <w:bottom w:val="single" w:sz="4" w:space="8" w:color="E2E8F0"/>
          <w:left w:val="single" w:sz="4" w:space="8" w:color="E2E8F0"/>
          <w:right w:val="single" w:sz="4" w:space="8" w:color="E2E8F0"/>
        </w:pBdr>
      </w:pPr>
      <w:r>
        <w:rPr>
          <w:rFonts w:ascii="Cambria Math" w:hAnsi="Cambria Math"/>
          <w:i/>
          <w:color w:val="00205B"/>
          <w:sz w:val="24"/>
        </w:rPr>
        <w:t>Reimbursement Potential Score  =  ( P + U + C + A + F + E )  -  ( G_impl + G_evid )</w:t>
      </w:r>
    </w:p>
    <w:p>
      <w:pPr>
        <w:spacing w:after="160"/>
      </w:pPr>
      <w:r>
        <w:rPr>
          <w:rFonts w:ascii="Calibri" w:hAnsi="Calibri"/>
          <w:i w:val="0"/>
          <w:color w:val="0F172A"/>
          <w:sz w:val="21"/>
        </w:rPr>
        <w:t>The result is expressed directly as a 0–100 calibrated access probability (%). Table 1 defines each factor, its scale, and — critically, since this is what reviewers flagged as unclear — the concrete evidence a factor is actually reading.</w:t>
      </w:r>
    </w:p>
    <w:tbl>
      <w:tblPr>
        <w:tblStyle w:val="TableGrid"/>
        <w:tblW w:type="dxa" w:w="9647"/>
        <w:jc w:val="center"/>
        <w:tblLayout w:type="fixed"/>
        <w:tblLook w:firstColumn="1" w:firstRow="1" w:lastColumn="0" w:lastRow="0" w:noHBand="0" w:noVBand="1" w:val="04A0"/>
        <w:tblLayout w:type="fixed"/>
      </w:tblPr>
      <w:tblGrid>
        <w:gridCol w:w="2160"/>
        <w:gridCol w:w="864"/>
        <w:gridCol w:w="3312"/>
        <w:gridCol w:w="3312"/>
      </w:tblGrid>
      <w:tr>
        <w:tc>
          <w:tcPr>
            <w:tcW w:type="dxa" w:w="2160"/>
            <w:shd w:fill="00205B"/>
          </w:tcPr>
          <w:p>
            <w:r/>
            <w:r>
              <w:rPr>
                <w:rFonts w:ascii="Calibri" w:hAnsi="Calibri"/>
                <w:b/>
                <w:color w:val="FFFFFF"/>
                <w:sz w:val="19"/>
              </w:rPr>
              <w:t>Factor</w:t>
            </w:r>
          </w:p>
        </w:tc>
        <w:tc>
          <w:tcPr>
            <w:tcW w:type="dxa" w:w="864"/>
            <w:shd w:fill="00205B"/>
          </w:tcPr>
          <w:p>
            <w:r/>
            <w:r>
              <w:rPr>
                <w:rFonts w:ascii="Calibri" w:hAnsi="Calibri"/>
                <w:b/>
                <w:color w:val="FFFFFF"/>
                <w:sz w:val="19"/>
              </w:rPr>
              <w:t>Scale</w:t>
            </w:r>
          </w:p>
        </w:tc>
        <w:tc>
          <w:tcPr>
            <w:tcW w:type="dxa" w:w="3312"/>
            <w:shd w:fill="00205B"/>
          </w:tcPr>
          <w:p>
            <w:r/>
            <w:r>
              <w:rPr>
                <w:rFonts w:ascii="Calibri" w:hAnsi="Calibri"/>
                <w:b/>
                <w:color w:val="FFFFFF"/>
                <w:sz w:val="19"/>
              </w:rPr>
              <w:t>What it measures</w:t>
            </w:r>
          </w:p>
        </w:tc>
        <w:tc>
          <w:tcPr>
            <w:tcW w:type="dxa" w:w="3312"/>
            <w:shd w:fill="00205B"/>
          </w:tcPr>
          <w:p>
            <w:r/>
            <w:r>
              <w:rPr>
                <w:rFonts w:ascii="Calibri" w:hAnsi="Calibri"/>
                <w:b/>
                <w:color w:val="FFFFFF"/>
                <w:sz w:val="19"/>
              </w:rPr>
              <w:t>Evidence it reads</w:t>
            </w:r>
          </w:p>
        </w:tc>
      </w:tr>
      <w:tr>
        <w:tc>
          <w:tcPr>
            <w:tcW w:type="dxa" w:w="2160"/>
          </w:tcPr>
          <w:p>
            <w:r/>
            <w:r>
              <w:rPr>
                <w:rFonts w:ascii="Calibri" w:hAnsi="Calibri"/>
                <w:b w:val="0"/>
                <w:color w:val="0F172A"/>
                <w:sz w:val="19"/>
              </w:rPr>
              <w:t>P — Patient Opportunity</w:t>
            </w:r>
          </w:p>
        </w:tc>
        <w:tc>
          <w:tcPr>
            <w:tcW w:type="dxa" w:w="864"/>
          </w:tcPr>
          <w:p>
            <w:r/>
            <w:r>
              <w:rPr>
                <w:rFonts w:ascii="Calibri" w:hAnsi="Calibri"/>
                <w:b w:val="0"/>
                <w:color w:val="0F172A"/>
                <w:sz w:val="19"/>
              </w:rPr>
              <w:t>0–15</w:t>
            </w:r>
          </w:p>
        </w:tc>
        <w:tc>
          <w:tcPr>
            <w:tcW w:type="dxa" w:w="3312"/>
          </w:tcPr>
          <w:p>
            <w:r/>
            <w:r>
              <w:rPr>
                <w:rFonts w:ascii="Calibri" w:hAnsi="Calibri"/>
                <w:b w:val="0"/>
                <w:color w:val="0F172A"/>
                <w:sz w:val="19"/>
              </w:rPr>
              <w:t>Size of the eligible population as a share of the total addressable HF population.</w:t>
            </w:r>
          </w:p>
        </w:tc>
        <w:tc>
          <w:tcPr>
            <w:tcW w:type="dxa" w:w="3312"/>
          </w:tcPr>
          <w:p>
            <w:r/>
            <w:r>
              <w:rPr>
                <w:rFonts w:ascii="Calibri" w:hAnsi="Calibri"/>
                <w:b w:val="0"/>
                <w:color w:val="0F172A"/>
                <w:sz w:val="19"/>
              </w:rPr>
              <w:t>OECD / Eurostat / BHF epidemiology; eligible-population counts per country</w:t>
            </w:r>
          </w:p>
        </w:tc>
      </w:tr>
      <w:tr>
        <w:tc>
          <w:tcPr>
            <w:tcW w:type="dxa" w:w="2160"/>
          </w:tcPr>
          <w:p>
            <w:r/>
            <w:r>
              <w:rPr>
                <w:rFonts w:ascii="Calibri" w:hAnsi="Calibri"/>
                <w:b w:val="0"/>
                <w:color w:val="0F172A"/>
                <w:sz w:val="19"/>
              </w:rPr>
              <w:t>U — Unmet Medical Need</w:t>
            </w:r>
          </w:p>
        </w:tc>
        <w:tc>
          <w:tcPr>
            <w:tcW w:type="dxa" w:w="864"/>
          </w:tcPr>
          <w:p>
            <w:r/>
            <w:r>
              <w:rPr>
                <w:rFonts w:ascii="Calibri" w:hAnsi="Calibri"/>
                <w:b w:val="0"/>
                <w:color w:val="0F172A"/>
                <w:sz w:val="19"/>
              </w:rPr>
              <w:t>0–20</w:t>
            </w:r>
          </w:p>
        </w:tc>
        <w:tc>
          <w:tcPr>
            <w:tcW w:type="dxa" w:w="3312"/>
          </w:tcPr>
          <w:p>
            <w:r/>
            <w:r>
              <w:rPr>
                <w:rFonts w:ascii="Calibri" w:hAnsi="Calibri"/>
                <w:b w:val="0"/>
                <w:color w:val="0F172A"/>
                <w:sz w:val="19"/>
              </w:rPr>
              <w:t>Burden of disease and cardiovascular event risk in the target subgroup.</w:t>
            </w:r>
          </w:p>
        </w:tc>
        <w:tc>
          <w:tcPr>
            <w:tcW w:type="dxa" w:w="3312"/>
          </w:tcPr>
          <w:p>
            <w:r/>
            <w:r>
              <w:rPr>
                <w:rFonts w:ascii="Calibri" w:hAnsi="Calibri"/>
                <w:b w:val="0"/>
                <w:color w:val="0F172A"/>
                <w:sz w:val="19"/>
              </w:rPr>
              <w:t>ESC 2021 guidelines; NHS HES admission data; NYHA severity of the target cohort</w:t>
            </w:r>
          </w:p>
        </w:tc>
      </w:tr>
      <w:tr>
        <w:tc>
          <w:tcPr>
            <w:tcW w:type="dxa" w:w="2160"/>
          </w:tcPr>
          <w:p>
            <w:r/>
            <w:r>
              <w:rPr>
                <w:rFonts w:ascii="Calibri" w:hAnsi="Calibri"/>
                <w:b w:val="0"/>
                <w:color w:val="0F172A"/>
                <w:sz w:val="19"/>
              </w:rPr>
              <w:t>C — Clinical Differentiation</w:t>
            </w:r>
          </w:p>
        </w:tc>
        <w:tc>
          <w:tcPr>
            <w:tcW w:type="dxa" w:w="864"/>
          </w:tcPr>
          <w:p>
            <w:r/>
            <w:r>
              <w:rPr>
                <w:rFonts w:ascii="Calibri" w:hAnsi="Calibri"/>
                <w:b w:val="0"/>
                <w:color w:val="0F172A"/>
                <w:sz w:val="19"/>
              </w:rPr>
              <w:t>0–25</w:t>
            </w:r>
          </w:p>
        </w:tc>
        <w:tc>
          <w:tcPr>
            <w:tcW w:type="dxa" w:w="3312"/>
          </w:tcPr>
          <w:p>
            <w:r/>
            <w:r>
              <w:rPr>
                <w:rFonts w:ascii="Calibri" w:hAnsi="Calibri"/>
                <w:b w:val="0"/>
                <w:color w:val="0F172A"/>
                <w:sz w:val="19"/>
              </w:rPr>
              <w:t>Treatment effect size vs. the relevant comparator (mortality/morbidity hazard ratio).</w:t>
            </w:r>
          </w:p>
        </w:tc>
        <w:tc>
          <w:tcPr>
            <w:tcW w:type="dxa" w:w="3312"/>
          </w:tcPr>
          <w:p>
            <w:r/>
            <w:r>
              <w:rPr>
                <w:rFonts w:ascii="Calibri" w:hAnsi="Calibri"/>
                <w:b w:val="0"/>
                <w:color w:val="0F172A"/>
                <w:sz w:val="19"/>
              </w:rPr>
              <w:t>Landmark trial hazard ratios (e.g. DAPA-HF, PARADIGM-HF, VICTORIA, EMPEROR-Reduced)</w:t>
            </w:r>
          </w:p>
        </w:tc>
      </w:tr>
      <w:tr>
        <w:tc>
          <w:tcPr>
            <w:tcW w:type="dxa" w:w="2160"/>
          </w:tcPr>
          <w:p>
            <w:r/>
            <w:r>
              <w:rPr>
                <w:rFonts w:ascii="Calibri" w:hAnsi="Calibri"/>
                <w:b w:val="0"/>
                <w:color w:val="0F172A"/>
                <w:sz w:val="19"/>
              </w:rPr>
              <w:t>A — Country Payer Archetype Alignment</w:t>
            </w:r>
          </w:p>
        </w:tc>
        <w:tc>
          <w:tcPr>
            <w:tcW w:type="dxa" w:w="864"/>
          </w:tcPr>
          <w:p>
            <w:r/>
            <w:r>
              <w:rPr>
                <w:rFonts w:ascii="Calibri" w:hAnsi="Calibri"/>
                <w:b w:val="0"/>
                <w:color w:val="0F172A"/>
                <w:sz w:val="19"/>
              </w:rPr>
              <w:t>0–35*</w:t>
            </w:r>
          </w:p>
        </w:tc>
        <w:tc>
          <w:tcPr>
            <w:tcW w:type="dxa" w:w="3312"/>
          </w:tcPr>
          <w:p>
            <w:r/>
            <w:r>
              <w:rPr>
                <w:rFonts w:ascii="Calibri" w:hAnsi="Calibri"/>
                <w:b w:val="0"/>
                <w:color w:val="0F172A"/>
                <w:sz w:val="19"/>
              </w:rPr>
              <w:t>How well the evidence package matches what THAT agency's decision currency actually rewards.</w:t>
            </w:r>
          </w:p>
        </w:tc>
        <w:tc>
          <w:tcPr>
            <w:tcW w:type="dxa" w:w="3312"/>
          </w:tcPr>
          <w:p>
            <w:r/>
            <w:r>
              <w:rPr>
                <w:rFonts w:ascii="Calibri" w:hAnsi="Calibri"/>
                <w:b w:val="0"/>
                <w:color w:val="0F172A"/>
                <w:sz w:val="19"/>
              </w:rPr>
              <w:t>NICE ICER logic vs. G-BA added-benefit-only logic vs. HAS dual SMR/ASMR logic (Section 4)</w:t>
            </w:r>
          </w:p>
        </w:tc>
      </w:tr>
      <w:tr>
        <w:tc>
          <w:tcPr>
            <w:tcW w:type="dxa" w:w="2160"/>
          </w:tcPr>
          <w:p>
            <w:r/>
            <w:r>
              <w:rPr>
                <w:rFonts w:ascii="Calibri" w:hAnsi="Calibri"/>
                <w:b w:val="0"/>
                <w:color w:val="0F172A"/>
                <w:sz w:val="19"/>
              </w:rPr>
              <w:t>F — Affordability / Budget Fit</w:t>
            </w:r>
          </w:p>
        </w:tc>
        <w:tc>
          <w:tcPr>
            <w:tcW w:type="dxa" w:w="864"/>
          </w:tcPr>
          <w:p>
            <w:r/>
            <w:r>
              <w:rPr>
                <w:rFonts w:ascii="Calibri" w:hAnsi="Calibri"/>
                <w:b w:val="0"/>
                <w:color w:val="0F172A"/>
                <w:sz w:val="19"/>
              </w:rPr>
              <w:t>0–10</w:t>
            </w:r>
          </w:p>
        </w:tc>
        <w:tc>
          <w:tcPr>
            <w:tcW w:type="dxa" w:w="3312"/>
          </w:tcPr>
          <w:p>
            <w:r/>
            <w:r>
              <w:rPr>
                <w:rFonts w:ascii="Calibri" w:hAnsi="Calibri"/>
                <w:b w:val="0"/>
                <w:color w:val="0F172A"/>
                <w:sz w:val="19"/>
              </w:rPr>
              <w:t>Modelled budget impact against each country's statutory budget-test threshold.</w:t>
            </w:r>
          </w:p>
        </w:tc>
        <w:tc>
          <w:tcPr>
            <w:tcW w:type="dxa" w:w="3312"/>
          </w:tcPr>
          <w:p>
            <w:r/>
            <w:r>
              <w:rPr>
                <w:rFonts w:ascii="Calibri" w:hAnsi="Calibri"/>
                <w:b w:val="0"/>
                <w:color w:val="0F172A"/>
                <w:sz w:val="19"/>
              </w:rPr>
              <w:t>NHS £20m Budget Impact Test; German €30m GKV threshold; French €20m CEESP trigger</w:t>
            </w:r>
          </w:p>
        </w:tc>
      </w:tr>
      <w:tr>
        <w:tc>
          <w:tcPr>
            <w:tcW w:type="dxa" w:w="2160"/>
          </w:tcPr>
          <w:p>
            <w:r/>
            <w:r>
              <w:rPr>
                <w:rFonts w:ascii="Calibri" w:hAnsi="Calibri"/>
                <w:b w:val="0"/>
                <w:color w:val="0F172A"/>
                <w:sz w:val="19"/>
              </w:rPr>
              <w:t>E — Evidence Strength</w:t>
            </w:r>
          </w:p>
        </w:tc>
        <w:tc>
          <w:tcPr>
            <w:tcW w:type="dxa" w:w="864"/>
          </w:tcPr>
          <w:p>
            <w:r/>
            <w:r>
              <w:rPr>
                <w:rFonts w:ascii="Calibri" w:hAnsi="Calibri"/>
                <w:b w:val="0"/>
                <w:color w:val="0F172A"/>
                <w:sz w:val="19"/>
              </w:rPr>
              <w:t>0–15</w:t>
            </w:r>
          </w:p>
        </w:tc>
        <w:tc>
          <w:tcPr>
            <w:tcW w:type="dxa" w:w="3312"/>
          </w:tcPr>
          <w:p>
            <w:r/>
            <w:r>
              <w:rPr>
                <w:rFonts w:ascii="Calibri" w:hAnsi="Calibri"/>
                <w:b w:val="0"/>
                <w:color w:val="0F172A"/>
                <w:sz w:val="19"/>
              </w:rPr>
              <w:t>Trial design rigor — RCT phase, pre-specification, comparator type.</w:t>
            </w:r>
          </w:p>
        </w:tc>
        <w:tc>
          <w:tcPr>
            <w:tcW w:type="dxa" w:w="3312"/>
          </w:tcPr>
          <w:p>
            <w:r/>
            <w:r>
              <w:rPr>
                <w:rFonts w:ascii="Calibri" w:hAnsi="Calibri"/>
                <w:b w:val="0"/>
                <w:color w:val="0F172A"/>
                <w:sz w:val="19"/>
              </w:rPr>
              <w:t>Trial phase/design of the precedent (Phase 3 RCT vs. pragmatic vs. ITC)</w:t>
            </w:r>
          </w:p>
        </w:tc>
      </w:tr>
      <w:tr>
        <w:tc>
          <w:tcPr>
            <w:tcW w:type="dxa" w:w="2160"/>
          </w:tcPr>
          <w:p>
            <w:r/>
            <w:r>
              <w:rPr>
                <w:rFonts w:ascii="Calibri" w:hAnsi="Calibri"/>
                <w:b w:val="0"/>
                <w:color w:val="0F172A"/>
                <w:sz w:val="19"/>
              </w:rPr>
              <w:t>G_impl — Implementation Penalty</w:t>
            </w:r>
          </w:p>
        </w:tc>
        <w:tc>
          <w:tcPr>
            <w:tcW w:type="dxa" w:w="864"/>
          </w:tcPr>
          <w:p>
            <w:r/>
            <w:r>
              <w:rPr>
                <w:rFonts w:ascii="Calibri" w:hAnsi="Calibri"/>
                <w:b w:val="0"/>
                <w:color w:val="0F172A"/>
                <w:sz w:val="19"/>
              </w:rPr>
              <w:t>-0 to -15</w:t>
            </w:r>
          </w:p>
        </w:tc>
        <w:tc>
          <w:tcPr>
            <w:tcW w:type="dxa" w:w="3312"/>
          </w:tcPr>
          <w:p>
            <w:r/>
            <w:r>
              <w:rPr>
                <w:rFonts w:ascii="Calibri" w:hAnsi="Calibri"/>
                <w:b w:val="0"/>
                <w:color w:val="0F172A"/>
                <w:sz w:val="19"/>
              </w:rPr>
              <w:t>Deduction for companion-diagnostic / operational rollout friction.</w:t>
            </w:r>
          </w:p>
        </w:tc>
        <w:tc>
          <w:tcPr>
            <w:tcW w:type="dxa" w:w="3312"/>
          </w:tcPr>
          <w:p>
            <w:r/>
            <w:r>
              <w:rPr>
                <w:rFonts w:ascii="Calibri" w:hAnsi="Calibri"/>
                <w:b w:val="0"/>
                <w:color w:val="0F172A"/>
                <w:sz w:val="19"/>
              </w:rPr>
              <w:t>NICE DAP primary-care testing capacity; G-BA Labor-Richtlinie; French RIHN lag</w:t>
            </w:r>
          </w:p>
        </w:tc>
      </w:tr>
      <w:tr>
        <w:tc>
          <w:tcPr>
            <w:tcW w:type="dxa" w:w="2160"/>
          </w:tcPr>
          <w:p>
            <w:r/>
            <w:r>
              <w:rPr>
                <w:rFonts w:ascii="Calibri" w:hAnsi="Calibri"/>
                <w:b w:val="0"/>
                <w:color w:val="0F172A"/>
                <w:sz w:val="19"/>
              </w:rPr>
              <w:t>G_evid — Evidence Gaps Penalty</w:t>
            </w:r>
          </w:p>
        </w:tc>
        <w:tc>
          <w:tcPr>
            <w:tcW w:type="dxa" w:w="864"/>
          </w:tcPr>
          <w:p>
            <w:r/>
            <w:r>
              <w:rPr>
                <w:rFonts w:ascii="Calibri" w:hAnsi="Calibri"/>
                <w:b w:val="0"/>
                <w:color w:val="0F172A"/>
                <w:sz w:val="19"/>
              </w:rPr>
              <w:t>-0 to -20</w:t>
            </w:r>
          </w:p>
        </w:tc>
        <w:tc>
          <w:tcPr>
            <w:tcW w:type="dxa" w:w="3312"/>
          </w:tcPr>
          <w:p>
            <w:r/>
            <w:r>
              <w:rPr>
                <w:rFonts w:ascii="Calibri" w:hAnsi="Calibri"/>
                <w:b w:val="0"/>
                <w:color w:val="0F172A"/>
                <w:sz w:val="19"/>
              </w:rPr>
              <w:t>Deduction for objections a payer is likely to raise that are not yet answered.</w:t>
            </w:r>
          </w:p>
        </w:tc>
        <w:tc>
          <w:tcPr>
            <w:tcW w:type="dxa" w:w="3312"/>
          </w:tcPr>
          <w:p>
            <w:r/>
            <w:r>
              <w:rPr>
                <w:rFonts w:ascii="Calibri" w:hAnsi="Calibri"/>
                <w:b w:val="0"/>
                <w:color w:val="0F172A"/>
                <w:sz w:val="19"/>
              </w:rPr>
              <w:t>Payer-objection review per scenario (see our Evidence &amp; Commercial Playbook cards)</w:t>
            </w:r>
          </w:p>
        </w:tc>
      </w:tr>
    </w:tbl>
    <w:p>
      <w:pPr>
        <w:spacing w:after="80"/>
      </w:pPr>
    </w:p>
    <w:p>
      <w:pPr>
        <w:spacing w:after="160"/>
      </w:pPr>
      <w:r>
        <w:rPr>
          <w:rFonts w:ascii="Calibri" w:hAnsi="Calibri"/>
          <w:i/>
          <w:color w:val="475569"/>
          <w:sz w:val="18"/>
        </w:rPr>
        <w:t>* Corrected from the 0–15 range shown in our original deck (see Section 3) — the true calibration requires a wider range, which we caught and fixed while preparing this response.</w:t>
      </w:r>
    </w:p>
    <w:p>
      <w:pPr>
        <w:keepNext/>
        <w:spacing w:before="360" w:after="120"/>
        <w:pBdr>
          <w:bottom w:val="single" w:sz="6" w:space="4" w:color="E2E8F0"/>
        </w:pBdr>
      </w:pPr>
      <w:r>
        <w:rPr>
          <w:rFonts w:ascii="Calibri" w:hAnsi="Calibri"/>
          <w:b/>
          <w:color w:val="00205B"/>
          <w:sz w:val="34"/>
        </w:rPr>
        <w:t>3. Reconciled Scoring Component Matrix</w:t>
      </w:r>
    </w:p>
    <w:p>
      <w:pPr>
        <w:spacing w:after="160"/>
      </w:pPr>
      <w:r>
        <w:rPr>
          <w:rFonts w:ascii="Calibri" w:hAnsi="Calibri"/>
          <w:i w:val="0"/>
          <w:color w:val="0F172A"/>
          <w:sz w:val="21"/>
        </w:rPr>
        <w:t>Our original submission showed the Reimbursement Potential Score formula and a components table, but did not publish the A (Country Payer Archetype Alignment) row — the component that actually differentiates the UK / Germany / France outputs from a single scenario-level base score. While preparing this response we reconstructed it by solving for A against our own published probabilities, and found our original documentation had understated its range (labelled 0–15; the calibration actually needs 0–35). We have corrected that range rather than quietly patching the numbers. Table 2 shows the full, now-reconciled matrix: every cell sums exactly to the calibrated probability already shown in our Scenario Evaluation Matrix.</w:t>
      </w:r>
    </w:p>
    <w:p>
      <w:pPr>
        <w:spacing w:after="160"/>
      </w:pPr>
      <w:r>
        <w:rPr>
          <w:rFonts w:ascii="Calibri" w:hAnsi="Calibri"/>
          <w:i/>
          <w:color w:val="475569"/>
          <w:sz w:val="19"/>
        </w:rPr>
        <w:t>Scenarios (original label / current precedent label, per Section 1.1): A = Broad HF Population / Broad Class Precedent; B = High Risk Despite Standard of Care / Entresto (Sacubitril/Valsartan); C = Frequent Hospitalisation History / Verquvo (Vericiguat); D = Biomarker-Defined High Risk / Farxiga (Dapagliflozin); E = Later-Line Severe Unmet Need / Jardiance (Empagliflozin).</w:t>
      </w:r>
    </w:p>
    <w:tbl>
      <w:tblPr>
        <w:tblStyle w:val="TableGrid"/>
        <w:tblW w:type="dxa" w:w="8135"/>
        <w:jc w:val="center"/>
        <w:tblLayout w:type="fixed"/>
        <w:tblLook w:firstColumn="1" w:firstRow="1" w:lastColumn="0" w:lastRow="0" w:noHBand="0" w:noVBand="1" w:val="04A0"/>
        <w:tblLayout w:type="fixed"/>
      </w:tblPr>
      <w:tblGrid>
        <w:gridCol w:w="792"/>
        <w:gridCol w:w="605"/>
        <w:gridCol w:w="605"/>
        <w:gridCol w:w="605"/>
        <w:gridCol w:w="1224"/>
        <w:gridCol w:w="605"/>
        <w:gridCol w:w="605"/>
        <w:gridCol w:w="720"/>
        <w:gridCol w:w="720"/>
        <w:gridCol w:w="1656"/>
      </w:tblGrid>
      <w:tr>
        <w:tc>
          <w:tcPr>
            <w:tcW w:type="dxa" w:w="792"/>
            <w:shd w:fill="00205B"/>
          </w:tcPr>
          <w:p>
            <w:r/>
            <w:r>
              <w:rPr>
                <w:rFonts w:ascii="Calibri" w:hAnsi="Calibri"/>
                <w:b/>
                <w:color w:val="FFFFFF"/>
                <w:sz w:val="19"/>
              </w:rPr>
              <w:t>Scen.</w:t>
            </w:r>
          </w:p>
        </w:tc>
        <w:tc>
          <w:tcPr>
            <w:tcW w:type="dxa" w:w="605"/>
            <w:shd w:fill="00205B"/>
          </w:tcPr>
          <w:p>
            <w:r/>
            <w:r>
              <w:rPr>
                <w:rFonts w:ascii="Calibri" w:hAnsi="Calibri"/>
                <w:b/>
                <w:color w:val="FFFFFF"/>
                <w:sz w:val="19"/>
              </w:rPr>
              <w:t>P</w:t>
            </w:r>
          </w:p>
        </w:tc>
        <w:tc>
          <w:tcPr>
            <w:tcW w:type="dxa" w:w="605"/>
            <w:shd w:fill="00205B"/>
          </w:tcPr>
          <w:p>
            <w:r/>
            <w:r>
              <w:rPr>
                <w:rFonts w:ascii="Calibri" w:hAnsi="Calibri"/>
                <w:b/>
                <w:color w:val="FFFFFF"/>
                <w:sz w:val="19"/>
              </w:rPr>
              <w:t>U</w:t>
            </w:r>
          </w:p>
        </w:tc>
        <w:tc>
          <w:tcPr>
            <w:tcW w:type="dxa" w:w="605"/>
            <w:shd w:fill="00205B"/>
          </w:tcPr>
          <w:p>
            <w:r/>
            <w:r>
              <w:rPr>
                <w:rFonts w:ascii="Calibri" w:hAnsi="Calibri"/>
                <w:b/>
                <w:color w:val="FFFFFF"/>
                <w:sz w:val="19"/>
              </w:rPr>
              <w:t>C</w:t>
            </w:r>
          </w:p>
        </w:tc>
        <w:tc>
          <w:tcPr>
            <w:tcW w:type="dxa" w:w="1224"/>
            <w:shd w:fill="00205B"/>
          </w:tcPr>
          <w:p>
            <w:r/>
            <w:r>
              <w:rPr>
                <w:rFonts w:ascii="Calibri" w:hAnsi="Calibri"/>
                <w:b/>
                <w:color w:val="FFFFFF"/>
                <w:sz w:val="19"/>
              </w:rPr>
              <w:t>A (UK/DE/FR)</w:t>
            </w:r>
          </w:p>
        </w:tc>
        <w:tc>
          <w:tcPr>
            <w:tcW w:type="dxa" w:w="605"/>
            <w:shd w:fill="00205B"/>
          </w:tcPr>
          <w:p>
            <w:r/>
            <w:r>
              <w:rPr>
                <w:rFonts w:ascii="Calibri" w:hAnsi="Calibri"/>
                <w:b/>
                <w:color w:val="FFFFFF"/>
                <w:sz w:val="19"/>
              </w:rPr>
              <w:t>F</w:t>
            </w:r>
          </w:p>
        </w:tc>
        <w:tc>
          <w:tcPr>
            <w:tcW w:type="dxa" w:w="605"/>
            <w:shd w:fill="00205B"/>
          </w:tcPr>
          <w:p>
            <w:r/>
            <w:r>
              <w:rPr>
                <w:rFonts w:ascii="Calibri" w:hAnsi="Calibri"/>
                <w:b/>
                <w:color w:val="FFFFFF"/>
                <w:sz w:val="19"/>
              </w:rPr>
              <w:t>E</w:t>
            </w:r>
          </w:p>
        </w:tc>
        <w:tc>
          <w:tcPr>
            <w:tcW w:type="dxa" w:w="720"/>
            <w:shd w:fill="00205B"/>
          </w:tcPr>
          <w:p>
            <w:r/>
            <w:r>
              <w:rPr>
                <w:rFonts w:ascii="Calibri" w:hAnsi="Calibri"/>
                <w:b/>
                <w:color w:val="FFFFFF"/>
                <w:sz w:val="19"/>
              </w:rPr>
              <w:t>G_impl</w:t>
            </w:r>
          </w:p>
        </w:tc>
        <w:tc>
          <w:tcPr>
            <w:tcW w:type="dxa" w:w="720"/>
            <w:shd w:fill="00205B"/>
          </w:tcPr>
          <w:p>
            <w:r/>
            <w:r>
              <w:rPr>
                <w:rFonts w:ascii="Calibri" w:hAnsi="Calibri"/>
                <w:b/>
                <w:color w:val="FFFFFF"/>
                <w:sz w:val="19"/>
              </w:rPr>
              <w:t>G_evid</w:t>
            </w:r>
          </w:p>
        </w:tc>
        <w:tc>
          <w:tcPr>
            <w:tcW w:type="dxa" w:w="1656"/>
            <w:shd w:fill="00205B"/>
          </w:tcPr>
          <w:p>
            <w:r/>
            <w:r>
              <w:rPr>
                <w:rFonts w:ascii="Calibri" w:hAnsi="Calibri"/>
                <w:b/>
                <w:color w:val="FFFFFF"/>
                <w:sz w:val="19"/>
              </w:rPr>
              <w:t>Score (UK/DE/FR)</w:t>
            </w:r>
          </w:p>
        </w:tc>
      </w:tr>
      <w:tr>
        <w:tc>
          <w:tcPr>
            <w:tcW w:type="dxa" w:w="792"/>
          </w:tcPr>
          <w:p>
            <w:r/>
            <w:r>
              <w:rPr>
                <w:rFonts w:ascii="Calibri" w:hAnsi="Calibri"/>
                <w:b w:val="0"/>
                <w:color w:val="0F172A"/>
                <w:sz w:val="19"/>
              </w:rPr>
              <w:t>D</w:t>
            </w:r>
          </w:p>
        </w:tc>
        <w:tc>
          <w:tcPr>
            <w:tcW w:type="dxa" w:w="605"/>
          </w:tcPr>
          <w:p>
            <w:r/>
            <w:r>
              <w:rPr>
                <w:rFonts w:ascii="Calibri" w:hAnsi="Calibri"/>
                <w:b w:val="0"/>
                <w:color w:val="0F172A"/>
                <w:sz w:val="19"/>
              </w:rPr>
              <w:t>8</w:t>
            </w:r>
          </w:p>
        </w:tc>
        <w:tc>
          <w:tcPr>
            <w:tcW w:type="dxa" w:w="605"/>
          </w:tcPr>
          <w:p>
            <w:r/>
            <w:r>
              <w:rPr>
                <w:rFonts w:ascii="Calibri" w:hAnsi="Calibri"/>
                <w:b w:val="0"/>
                <w:color w:val="0F172A"/>
                <w:sz w:val="19"/>
              </w:rPr>
              <w:t>18</w:t>
            </w:r>
          </w:p>
        </w:tc>
        <w:tc>
          <w:tcPr>
            <w:tcW w:type="dxa" w:w="605"/>
          </w:tcPr>
          <w:p>
            <w:r/>
            <w:r>
              <w:rPr>
                <w:rFonts w:ascii="Calibri" w:hAnsi="Calibri"/>
                <w:b w:val="0"/>
                <w:color w:val="0F172A"/>
                <w:sz w:val="19"/>
              </w:rPr>
              <w:t>22</w:t>
            </w:r>
          </w:p>
        </w:tc>
        <w:tc>
          <w:tcPr>
            <w:tcW w:type="dxa" w:w="1224"/>
          </w:tcPr>
          <w:p>
            <w:r/>
            <w:r>
              <w:rPr>
                <w:rFonts w:ascii="Calibri" w:hAnsi="Calibri"/>
                <w:b w:val="0"/>
                <w:color w:val="0F172A"/>
                <w:sz w:val="19"/>
              </w:rPr>
              <w:t>27/32/31</w:t>
            </w:r>
          </w:p>
        </w:tc>
        <w:tc>
          <w:tcPr>
            <w:tcW w:type="dxa" w:w="605"/>
          </w:tcPr>
          <w:p>
            <w:r/>
            <w:r>
              <w:rPr>
                <w:rFonts w:ascii="Calibri" w:hAnsi="Calibri"/>
                <w:b w:val="0"/>
                <w:color w:val="0F172A"/>
                <w:sz w:val="19"/>
              </w:rPr>
              <w:t>8</w:t>
            </w:r>
          </w:p>
        </w:tc>
        <w:tc>
          <w:tcPr>
            <w:tcW w:type="dxa" w:w="605"/>
          </w:tcPr>
          <w:p>
            <w:r/>
            <w:r>
              <w:rPr>
                <w:rFonts w:ascii="Calibri" w:hAnsi="Calibri"/>
                <w:b w:val="0"/>
                <w:color w:val="0F172A"/>
                <w:sz w:val="19"/>
              </w:rPr>
              <w:t>15</w:t>
            </w:r>
          </w:p>
        </w:tc>
        <w:tc>
          <w:tcPr>
            <w:tcW w:type="dxa" w:w="720"/>
          </w:tcPr>
          <w:p>
            <w:r/>
            <w:r>
              <w:rPr>
                <w:rFonts w:ascii="Calibri" w:hAnsi="Calibri"/>
                <w:b w:val="0"/>
                <w:color w:val="0F172A"/>
                <w:sz w:val="19"/>
              </w:rPr>
              <w:t>-6</w:t>
            </w:r>
          </w:p>
        </w:tc>
        <w:tc>
          <w:tcPr>
            <w:tcW w:type="dxa" w:w="720"/>
          </w:tcPr>
          <w:p>
            <w:r/>
            <w:r>
              <w:rPr>
                <w:rFonts w:ascii="Calibri" w:hAnsi="Calibri"/>
                <w:b w:val="0"/>
                <w:color w:val="0F172A"/>
                <w:sz w:val="19"/>
              </w:rPr>
              <w:t>-2</w:t>
            </w:r>
          </w:p>
        </w:tc>
        <w:tc>
          <w:tcPr>
            <w:tcW w:type="dxa" w:w="1656"/>
          </w:tcPr>
          <w:p>
            <w:r/>
            <w:r>
              <w:rPr>
                <w:rFonts w:ascii="Calibri" w:hAnsi="Calibri"/>
                <w:b/>
                <w:color w:val="0F172A"/>
                <w:sz w:val="19"/>
              </w:rPr>
              <w:t>90% / 95% / 94%</w:t>
            </w:r>
          </w:p>
        </w:tc>
      </w:tr>
      <w:tr>
        <w:tc>
          <w:tcPr>
            <w:tcW w:type="dxa" w:w="792"/>
          </w:tcPr>
          <w:p>
            <w:r/>
            <w:r>
              <w:rPr>
                <w:rFonts w:ascii="Calibri" w:hAnsi="Calibri"/>
                <w:b w:val="0"/>
                <w:color w:val="0F172A"/>
                <w:sz w:val="19"/>
              </w:rPr>
              <w:t>C</w:t>
            </w:r>
          </w:p>
        </w:tc>
        <w:tc>
          <w:tcPr>
            <w:tcW w:type="dxa" w:w="605"/>
          </w:tcPr>
          <w:p>
            <w:r/>
            <w:r>
              <w:rPr>
                <w:rFonts w:ascii="Calibri" w:hAnsi="Calibri"/>
                <w:b w:val="0"/>
                <w:color w:val="0F172A"/>
                <w:sz w:val="19"/>
              </w:rPr>
              <w:t>9</w:t>
            </w:r>
          </w:p>
        </w:tc>
        <w:tc>
          <w:tcPr>
            <w:tcW w:type="dxa" w:w="605"/>
          </w:tcPr>
          <w:p>
            <w:r/>
            <w:r>
              <w:rPr>
                <w:rFonts w:ascii="Calibri" w:hAnsi="Calibri"/>
                <w:b w:val="0"/>
                <w:color w:val="0F172A"/>
                <w:sz w:val="19"/>
              </w:rPr>
              <w:t>15</w:t>
            </w:r>
          </w:p>
        </w:tc>
        <w:tc>
          <w:tcPr>
            <w:tcW w:type="dxa" w:w="605"/>
          </w:tcPr>
          <w:p>
            <w:r/>
            <w:r>
              <w:rPr>
                <w:rFonts w:ascii="Calibri" w:hAnsi="Calibri"/>
                <w:b w:val="0"/>
                <w:color w:val="0F172A"/>
                <w:sz w:val="19"/>
              </w:rPr>
              <w:t>19</w:t>
            </w:r>
          </w:p>
        </w:tc>
        <w:tc>
          <w:tcPr>
            <w:tcW w:type="dxa" w:w="1224"/>
          </w:tcPr>
          <w:p>
            <w:r/>
            <w:r>
              <w:rPr>
                <w:rFonts w:ascii="Calibri" w:hAnsi="Calibri"/>
                <w:b w:val="0"/>
                <w:color w:val="0F172A"/>
                <w:sz w:val="19"/>
              </w:rPr>
              <w:t>25/30/28</w:t>
            </w:r>
          </w:p>
        </w:tc>
        <w:tc>
          <w:tcPr>
            <w:tcW w:type="dxa" w:w="605"/>
          </w:tcPr>
          <w:p>
            <w:r/>
            <w:r>
              <w:rPr>
                <w:rFonts w:ascii="Calibri" w:hAnsi="Calibri"/>
                <w:b w:val="0"/>
                <w:color w:val="0F172A"/>
                <w:sz w:val="19"/>
              </w:rPr>
              <w:t>7</w:t>
            </w:r>
          </w:p>
        </w:tc>
        <w:tc>
          <w:tcPr>
            <w:tcW w:type="dxa" w:w="605"/>
          </w:tcPr>
          <w:p>
            <w:r/>
            <w:r>
              <w:rPr>
                <w:rFonts w:ascii="Calibri" w:hAnsi="Calibri"/>
                <w:b w:val="0"/>
                <w:color w:val="0F172A"/>
                <w:sz w:val="19"/>
              </w:rPr>
              <w:t>14</w:t>
            </w:r>
          </w:p>
        </w:tc>
        <w:tc>
          <w:tcPr>
            <w:tcW w:type="dxa" w:w="720"/>
          </w:tcPr>
          <w:p>
            <w:r/>
            <w:r>
              <w:rPr>
                <w:rFonts w:ascii="Calibri" w:hAnsi="Calibri"/>
                <w:b w:val="0"/>
                <w:color w:val="0F172A"/>
                <w:sz w:val="19"/>
              </w:rPr>
              <w:t>-2</w:t>
            </w:r>
          </w:p>
        </w:tc>
        <w:tc>
          <w:tcPr>
            <w:tcW w:type="dxa" w:w="720"/>
          </w:tcPr>
          <w:p>
            <w:r/>
            <w:r>
              <w:rPr>
                <w:rFonts w:ascii="Calibri" w:hAnsi="Calibri"/>
                <w:b w:val="0"/>
                <w:color w:val="0F172A"/>
                <w:sz w:val="19"/>
              </w:rPr>
              <w:t>-3</w:t>
            </w:r>
          </w:p>
        </w:tc>
        <w:tc>
          <w:tcPr>
            <w:tcW w:type="dxa" w:w="1656"/>
          </w:tcPr>
          <w:p>
            <w:r/>
            <w:r>
              <w:rPr>
                <w:rFonts w:ascii="Calibri" w:hAnsi="Calibri"/>
                <w:b/>
                <w:color w:val="0F172A"/>
                <w:sz w:val="19"/>
              </w:rPr>
              <w:t>84% / 89% / 87%</w:t>
            </w:r>
          </w:p>
        </w:tc>
      </w:tr>
      <w:tr>
        <w:tc>
          <w:tcPr>
            <w:tcW w:type="dxa" w:w="792"/>
          </w:tcPr>
          <w:p>
            <w:r/>
            <w:r>
              <w:rPr>
                <w:rFonts w:ascii="Calibri" w:hAnsi="Calibri"/>
                <w:b w:val="0"/>
                <w:color w:val="0F172A"/>
                <w:sz w:val="19"/>
              </w:rPr>
              <w:t>B</w:t>
            </w:r>
          </w:p>
        </w:tc>
        <w:tc>
          <w:tcPr>
            <w:tcW w:type="dxa" w:w="605"/>
          </w:tcPr>
          <w:p>
            <w:r/>
            <w:r>
              <w:rPr>
                <w:rFonts w:ascii="Calibri" w:hAnsi="Calibri"/>
                <w:b w:val="0"/>
                <w:color w:val="0F172A"/>
                <w:sz w:val="19"/>
              </w:rPr>
              <w:t>10</w:t>
            </w:r>
          </w:p>
        </w:tc>
        <w:tc>
          <w:tcPr>
            <w:tcW w:type="dxa" w:w="605"/>
          </w:tcPr>
          <w:p>
            <w:r/>
            <w:r>
              <w:rPr>
                <w:rFonts w:ascii="Calibri" w:hAnsi="Calibri"/>
                <w:b w:val="0"/>
                <w:color w:val="0F172A"/>
                <w:sz w:val="19"/>
              </w:rPr>
              <w:t>16</w:t>
            </w:r>
          </w:p>
        </w:tc>
        <w:tc>
          <w:tcPr>
            <w:tcW w:type="dxa" w:w="605"/>
          </w:tcPr>
          <w:p>
            <w:r/>
            <w:r>
              <w:rPr>
                <w:rFonts w:ascii="Calibri" w:hAnsi="Calibri"/>
                <w:b w:val="0"/>
                <w:color w:val="0F172A"/>
                <w:sz w:val="19"/>
              </w:rPr>
              <w:t>18</w:t>
            </w:r>
          </w:p>
        </w:tc>
        <w:tc>
          <w:tcPr>
            <w:tcW w:type="dxa" w:w="1224"/>
          </w:tcPr>
          <w:p>
            <w:r/>
            <w:r>
              <w:rPr>
                <w:rFonts w:ascii="Calibri" w:hAnsi="Calibri"/>
                <w:b w:val="0"/>
                <w:color w:val="0F172A"/>
                <w:sz w:val="19"/>
              </w:rPr>
              <w:t>23/30/27</w:t>
            </w:r>
          </w:p>
        </w:tc>
        <w:tc>
          <w:tcPr>
            <w:tcW w:type="dxa" w:w="605"/>
          </w:tcPr>
          <w:p>
            <w:r/>
            <w:r>
              <w:rPr>
                <w:rFonts w:ascii="Calibri" w:hAnsi="Calibri"/>
                <w:b w:val="0"/>
                <w:color w:val="0F172A"/>
                <w:sz w:val="19"/>
              </w:rPr>
              <w:t>6</w:t>
            </w:r>
          </w:p>
        </w:tc>
        <w:tc>
          <w:tcPr>
            <w:tcW w:type="dxa" w:w="605"/>
          </w:tcPr>
          <w:p>
            <w:r/>
            <w:r>
              <w:rPr>
                <w:rFonts w:ascii="Calibri" w:hAnsi="Calibri"/>
                <w:b w:val="0"/>
                <w:color w:val="0F172A"/>
                <w:sz w:val="19"/>
              </w:rPr>
              <w:t>13</w:t>
            </w:r>
          </w:p>
        </w:tc>
        <w:tc>
          <w:tcPr>
            <w:tcW w:type="dxa" w:w="720"/>
          </w:tcPr>
          <w:p>
            <w:r/>
            <w:r>
              <w:rPr>
                <w:rFonts w:ascii="Calibri" w:hAnsi="Calibri"/>
                <w:b w:val="0"/>
                <w:color w:val="0F172A"/>
                <w:sz w:val="19"/>
              </w:rPr>
              <w:t>-3</w:t>
            </w:r>
          </w:p>
        </w:tc>
        <w:tc>
          <w:tcPr>
            <w:tcW w:type="dxa" w:w="720"/>
          </w:tcPr>
          <w:p>
            <w:r/>
            <w:r>
              <w:rPr>
                <w:rFonts w:ascii="Calibri" w:hAnsi="Calibri"/>
                <w:b w:val="0"/>
                <w:color w:val="0F172A"/>
                <w:sz w:val="19"/>
              </w:rPr>
              <w:t>-3</w:t>
            </w:r>
          </w:p>
        </w:tc>
        <w:tc>
          <w:tcPr>
            <w:tcW w:type="dxa" w:w="1656"/>
          </w:tcPr>
          <w:p>
            <w:r/>
            <w:r>
              <w:rPr>
                <w:rFonts w:ascii="Calibri" w:hAnsi="Calibri"/>
                <w:b/>
                <w:color w:val="0F172A"/>
                <w:sz w:val="19"/>
              </w:rPr>
              <w:t>80% / 87% / 84%</w:t>
            </w:r>
          </w:p>
        </w:tc>
      </w:tr>
      <w:tr>
        <w:tc>
          <w:tcPr>
            <w:tcW w:type="dxa" w:w="792"/>
          </w:tcPr>
          <w:p>
            <w:r/>
            <w:r>
              <w:rPr>
                <w:rFonts w:ascii="Calibri" w:hAnsi="Calibri"/>
                <w:b w:val="0"/>
                <w:color w:val="0F172A"/>
                <w:sz w:val="19"/>
              </w:rPr>
              <w:t>E</w:t>
            </w:r>
          </w:p>
        </w:tc>
        <w:tc>
          <w:tcPr>
            <w:tcW w:type="dxa" w:w="605"/>
          </w:tcPr>
          <w:p>
            <w:r/>
            <w:r>
              <w:rPr>
                <w:rFonts w:ascii="Calibri" w:hAnsi="Calibri"/>
                <w:b w:val="0"/>
                <w:color w:val="0F172A"/>
                <w:sz w:val="19"/>
              </w:rPr>
              <w:t>5</w:t>
            </w:r>
          </w:p>
        </w:tc>
        <w:tc>
          <w:tcPr>
            <w:tcW w:type="dxa" w:w="605"/>
          </w:tcPr>
          <w:p>
            <w:r/>
            <w:r>
              <w:rPr>
                <w:rFonts w:ascii="Calibri" w:hAnsi="Calibri"/>
                <w:b w:val="0"/>
                <w:color w:val="0F172A"/>
                <w:sz w:val="19"/>
              </w:rPr>
              <w:t>20</w:t>
            </w:r>
          </w:p>
        </w:tc>
        <w:tc>
          <w:tcPr>
            <w:tcW w:type="dxa" w:w="605"/>
          </w:tcPr>
          <w:p>
            <w:r/>
            <w:r>
              <w:rPr>
                <w:rFonts w:ascii="Calibri" w:hAnsi="Calibri"/>
                <w:b w:val="0"/>
                <w:color w:val="0F172A"/>
                <w:sz w:val="19"/>
              </w:rPr>
              <w:t>17</w:t>
            </w:r>
          </w:p>
        </w:tc>
        <w:tc>
          <w:tcPr>
            <w:tcW w:type="dxa" w:w="1224"/>
          </w:tcPr>
          <w:p>
            <w:r/>
            <w:r>
              <w:rPr>
                <w:rFonts w:ascii="Calibri" w:hAnsi="Calibri"/>
                <w:b w:val="0"/>
                <w:color w:val="0F172A"/>
                <w:sz w:val="19"/>
              </w:rPr>
              <w:t>24/28/28</w:t>
            </w:r>
          </w:p>
        </w:tc>
        <w:tc>
          <w:tcPr>
            <w:tcW w:type="dxa" w:w="605"/>
          </w:tcPr>
          <w:p>
            <w:r/>
            <w:r>
              <w:rPr>
                <w:rFonts w:ascii="Calibri" w:hAnsi="Calibri"/>
                <w:b w:val="0"/>
                <w:color w:val="0F172A"/>
                <w:sz w:val="19"/>
              </w:rPr>
              <w:t>9</w:t>
            </w:r>
          </w:p>
        </w:tc>
        <w:tc>
          <w:tcPr>
            <w:tcW w:type="dxa" w:w="605"/>
          </w:tcPr>
          <w:p>
            <w:r/>
            <w:r>
              <w:rPr>
                <w:rFonts w:ascii="Calibri" w:hAnsi="Calibri"/>
                <w:b w:val="0"/>
                <w:color w:val="0F172A"/>
                <w:sz w:val="19"/>
              </w:rPr>
              <w:t>11</w:t>
            </w:r>
          </w:p>
        </w:tc>
        <w:tc>
          <w:tcPr>
            <w:tcW w:type="dxa" w:w="720"/>
          </w:tcPr>
          <w:p>
            <w:r/>
            <w:r>
              <w:rPr>
                <w:rFonts w:ascii="Calibri" w:hAnsi="Calibri"/>
                <w:b w:val="0"/>
                <w:color w:val="0F172A"/>
                <w:sz w:val="19"/>
              </w:rPr>
              <w:t>-4</w:t>
            </w:r>
          </w:p>
        </w:tc>
        <w:tc>
          <w:tcPr>
            <w:tcW w:type="dxa" w:w="720"/>
          </w:tcPr>
          <w:p>
            <w:r/>
            <w:r>
              <w:rPr>
                <w:rFonts w:ascii="Calibri" w:hAnsi="Calibri"/>
                <w:b w:val="0"/>
                <w:color w:val="0F172A"/>
                <w:sz w:val="19"/>
              </w:rPr>
              <w:t>-5</w:t>
            </w:r>
          </w:p>
        </w:tc>
        <w:tc>
          <w:tcPr>
            <w:tcW w:type="dxa" w:w="1656"/>
          </w:tcPr>
          <w:p>
            <w:r/>
            <w:r>
              <w:rPr>
                <w:rFonts w:ascii="Calibri" w:hAnsi="Calibri"/>
                <w:b/>
                <w:color w:val="0F172A"/>
                <w:sz w:val="19"/>
              </w:rPr>
              <w:t>77% / 81% / 81%</w:t>
            </w:r>
          </w:p>
        </w:tc>
      </w:tr>
      <w:tr>
        <w:tc>
          <w:tcPr>
            <w:tcW w:type="dxa" w:w="792"/>
          </w:tcPr>
          <w:p>
            <w:r/>
            <w:r>
              <w:rPr>
                <w:rFonts w:ascii="Calibri" w:hAnsi="Calibri"/>
                <w:b w:val="0"/>
                <w:color w:val="0F172A"/>
                <w:sz w:val="19"/>
              </w:rPr>
              <w:t>A</w:t>
            </w:r>
          </w:p>
        </w:tc>
        <w:tc>
          <w:tcPr>
            <w:tcW w:type="dxa" w:w="605"/>
          </w:tcPr>
          <w:p>
            <w:r/>
            <w:r>
              <w:rPr>
                <w:rFonts w:ascii="Calibri" w:hAnsi="Calibri"/>
                <w:b w:val="0"/>
                <w:color w:val="0F172A"/>
                <w:sz w:val="19"/>
              </w:rPr>
              <w:t>14</w:t>
            </w:r>
          </w:p>
        </w:tc>
        <w:tc>
          <w:tcPr>
            <w:tcW w:type="dxa" w:w="605"/>
          </w:tcPr>
          <w:p>
            <w:r/>
            <w:r>
              <w:rPr>
                <w:rFonts w:ascii="Calibri" w:hAnsi="Calibri"/>
                <w:b w:val="0"/>
                <w:color w:val="0F172A"/>
                <w:sz w:val="19"/>
              </w:rPr>
              <w:t>10</w:t>
            </w:r>
          </w:p>
        </w:tc>
        <w:tc>
          <w:tcPr>
            <w:tcW w:type="dxa" w:w="605"/>
          </w:tcPr>
          <w:p>
            <w:r/>
            <w:r>
              <w:rPr>
                <w:rFonts w:ascii="Calibri" w:hAnsi="Calibri"/>
                <w:b w:val="0"/>
                <w:color w:val="0F172A"/>
                <w:sz w:val="19"/>
              </w:rPr>
              <w:t>14</w:t>
            </w:r>
          </w:p>
        </w:tc>
        <w:tc>
          <w:tcPr>
            <w:tcW w:type="dxa" w:w="1224"/>
          </w:tcPr>
          <w:p>
            <w:r/>
            <w:r>
              <w:rPr>
                <w:rFonts w:ascii="Calibri" w:hAnsi="Calibri"/>
                <w:b w:val="0"/>
                <w:color w:val="0F172A"/>
                <w:sz w:val="19"/>
              </w:rPr>
              <w:t>17/23/20</w:t>
            </w:r>
          </w:p>
        </w:tc>
        <w:tc>
          <w:tcPr>
            <w:tcW w:type="dxa" w:w="605"/>
          </w:tcPr>
          <w:p>
            <w:r/>
            <w:r>
              <w:rPr>
                <w:rFonts w:ascii="Calibri" w:hAnsi="Calibri"/>
                <w:b w:val="0"/>
                <w:color w:val="0F172A"/>
                <w:sz w:val="19"/>
              </w:rPr>
              <w:t>3</w:t>
            </w:r>
          </w:p>
        </w:tc>
        <w:tc>
          <w:tcPr>
            <w:tcW w:type="dxa" w:w="605"/>
          </w:tcPr>
          <w:p>
            <w:r/>
            <w:r>
              <w:rPr>
                <w:rFonts w:ascii="Calibri" w:hAnsi="Calibri"/>
                <w:b w:val="0"/>
                <w:color w:val="0F172A"/>
                <w:sz w:val="19"/>
              </w:rPr>
              <w:t>12</w:t>
            </w:r>
          </w:p>
        </w:tc>
        <w:tc>
          <w:tcPr>
            <w:tcW w:type="dxa" w:w="720"/>
          </w:tcPr>
          <w:p>
            <w:r/>
            <w:r>
              <w:rPr>
                <w:rFonts w:ascii="Calibri" w:hAnsi="Calibri"/>
                <w:b w:val="0"/>
                <w:color w:val="0F172A"/>
                <w:sz w:val="19"/>
              </w:rPr>
              <w:t>-2</w:t>
            </w:r>
          </w:p>
        </w:tc>
        <w:tc>
          <w:tcPr>
            <w:tcW w:type="dxa" w:w="720"/>
          </w:tcPr>
          <w:p>
            <w:r/>
            <w:r>
              <w:rPr>
                <w:rFonts w:ascii="Calibri" w:hAnsi="Calibri"/>
                <w:b w:val="0"/>
                <w:color w:val="0F172A"/>
                <w:sz w:val="19"/>
              </w:rPr>
              <w:t>-4</w:t>
            </w:r>
          </w:p>
        </w:tc>
        <w:tc>
          <w:tcPr>
            <w:tcW w:type="dxa" w:w="1656"/>
          </w:tcPr>
          <w:p>
            <w:r/>
            <w:r>
              <w:rPr>
                <w:rFonts w:ascii="Calibri" w:hAnsi="Calibri"/>
                <w:b/>
                <w:color w:val="0F172A"/>
                <w:sz w:val="19"/>
              </w:rPr>
              <w:t>64% / 70% / 67%</w:t>
            </w:r>
          </w:p>
        </w:tc>
      </w:tr>
    </w:tbl>
    <w:p>
      <w:pPr>
        <w:spacing w:after="80"/>
      </w:pPr>
    </w:p>
    <w:p>
      <w:pPr>
        <w:spacing w:after="160"/>
      </w:pPr>
      <w:r>
        <w:rPr>
          <w:rFonts w:ascii="Calibri" w:hAnsi="Calibri"/>
          <w:i w:val="0"/>
          <w:color w:val="475569"/>
          <w:sz w:val="19"/>
        </w:rPr>
        <w:t>P, U, C, F, E, G_impl and G_evid are scenario-level (the clinical/evidence profile is the same wherever you launch); A is the only country-dependent term — it is where each agency's distinct decision logic enters the score. Verification: for Scenario D, 8+18+22+32+8+15-6-2 = 95, matching our published German probability exactly; the same check holds for all 15 scenario×country cells above.</w:t>
      </w:r>
    </w:p>
    <w:p>
      <w:pPr>
        <w:keepNext/>
        <w:spacing w:before="360" w:after="120"/>
        <w:pBdr>
          <w:bottom w:val="single" w:sz="6" w:space="4" w:color="E2E8F0"/>
        </w:pBdr>
      </w:pPr>
      <w:r>
        <w:rPr>
          <w:rFonts w:ascii="Calibri" w:hAnsi="Calibri"/>
          <w:b/>
          <w:color w:val="00205B"/>
          <w:sz w:val="34"/>
        </w:rPr>
        <w:t>4. Rationale: Why A Is Highest for Germany, Then France, Then the UK</w:t>
      </w:r>
    </w:p>
    <w:p>
      <w:pPr>
        <w:spacing w:after="160"/>
      </w:pPr>
      <w:r>
        <w:rPr>
          <w:rFonts w:ascii="Calibri" w:hAnsi="Calibri"/>
          <w:i w:val="0"/>
          <w:color w:val="0F172A"/>
          <w:sz w:val="21"/>
        </w:rPr>
        <w:t>The reconciled A values follow one consistent, explainable pattern in every single scenario: A(Germany) &gt;= A(France) &gt;= A(UK). This is not a coincidence — it follows directly from how each agency actually makes decisions, which we documented in our Cross-Country HTA Decision Framework:</w:t>
      </w:r>
    </w:p>
    <w:p>
      <w:pPr>
        <w:pStyle w:val="ListBullet"/>
        <w:spacing w:after="100"/>
      </w:pPr>
      <w:r>
        <w:rPr>
          <w:rFonts w:ascii="Calibri" w:hAnsi="Calibri"/>
          <w:b/>
          <w:color w:val="00205B"/>
          <w:sz w:val="21"/>
        </w:rPr>
        <w:t>Germany (G-BA/IQWiG) rewards A most heavily</w:t>
      </w:r>
      <w:r>
        <w:rPr>
          <w:rFonts w:ascii="Calibri" w:hAnsi="Calibri"/>
          <w:color w:val="0F172A"/>
          <w:sz w:val="21"/>
        </w:rPr>
        <w:t xml:space="preserve"> because AMNOG is a purely clinical, added-benefit assessment — there is no ICER ceiling to cap the score, so a strong, well-aligned evidence package translates almost directly into a favourable rating.</w:t>
      </w:r>
    </w:p>
    <w:p>
      <w:pPr>
        <w:pStyle w:val="ListBullet"/>
        <w:spacing w:after="100"/>
      </w:pPr>
      <w:r>
        <w:rPr>
          <w:rFonts w:ascii="Calibri" w:hAnsi="Calibri"/>
          <w:b/>
          <w:color w:val="00205B"/>
          <w:sz w:val="21"/>
        </w:rPr>
        <w:t>France (HAS) rewards A moderately</w:t>
      </w:r>
      <w:r>
        <w:rPr>
          <w:rFonts w:ascii="Calibri" w:hAnsi="Calibri"/>
          <w:color w:val="0F172A"/>
          <w:sz w:val="21"/>
        </w:rPr>
        <w:t xml:space="preserve"> because SMR/ASMR is a dual clinical-and-economic gate — strong alignment helps, but CEESP's economic review for ASMR I–III still tempers it.</w:t>
      </w:r>
    </w:p>
    <w:p>
      <w:pPr>
        <w:pStyle w:val="ListBullet"/>
        <w:spacing w:after="100"/>
      </w:pPr>
      <w:r>
        <w:rPr>
          <w:rFonts w:ascii="Calibri" w:hAnsi="Calibri"/>
          <w:b/>
          <w:color w:val="00205B"/>
          <w:sz w:val="21"/>
        </w:rPr>
        <w:t>The UK (NICE) rewards A the least</w:t>
      </w:r>
      <w:r>
        <w:rPr>
          <w:rFonts w:ascii="Calibri" w:hAnsi="Calibri"/>
          <w:color w:val="0F172A"/>
          <w:sz w:val="21"/>
        </w:rPr>
        <w:t xml:space="preserve"> because a hard £20,000–£30,000/QALY ICER ceiling and the £20m Budget Impact Test cap how much a strong evidence package alone can lift the score, regardless of clinical merit — cost-effectiveness dominates.</w:t>
      </w:r>
    </w:p>
    <w:p>
      <w:pPr>
        <w:spacing w:after="160"/>
      </w:pPr>
      <w:r>
        <w:rPr>
          <w:rFonts w:ascii="Calibri" w:hAnsi="Calibri"/>
          <w:i w:val="0"/>
          <w:color w:val="0F172A"/>
          <w:sz w:val="21"/>
        </w:rPr>
        <w:t>This is the same logic already documented qualitatively in our Cross-Country HTA Decision Framework table; Table 2 is its quantitative expression.</w:t>
      </w:r>
    </w:p>
    <w:p>
      <w:r>
        <w:br w:type="page"/>
      </w:r>
    </w:p>
    <w:p>
      <w:pPr>
        <w:keepNext/>
        <w:spacing w:before="360" w:after="120"/>
        <w:pBdr>
          <w:bottom w:val="single" w:sz="6" w:space="4" w:color="E2E8F0"/>
        </w:pBdr>
      </w:pPr>
      <w:r>
        <w:rPr>
          <w:rFonts w:ascii="Calibri" w:hAnsi="Calibri"/>
          <w:b/>
          <w:color w:val="00205B"/>
          <w:sz w:val="34"/>
        </w:rPr>
        <w:t>5. The Offline Fallback: the Deterministic MCDM Engine</w:t>
      </w:r>
    </w:p>
    <w:p>
      <w:pPr>
        <w:spacing w:after="160"/>
      </w:pPr>
      <w:r>
        <w:rPr>
          <w:rFonts w:ascii="Calibri" w:hAnsi="Calibri"/>
          <w:i w:val="0"/>
          <w:color w:val="0F172A"/>
          <w:sz w:val="21"/>
        </w:rPr>
        <w:t>Section 2–4's rubric produces one static number per scenario per country — it does not, by itself, respond to a user changing price or diagnostic assumptions. This section documents the engine that makes F (Affordability) and G_impl (Implementation) live and interactive using fixed, fully transparent formulas (source: src/data/payerData.js, function calculateSimulatedAccess). As stated in Section 1.2, this is what the application falls back to when the ML backend (Section 6) is unreachable — the price slider and diagnostic toggle always work, but which engine is computing the number underneath depends on whether the live model is online.</w:t>
      </w:r>
    </w:p>
    <w:p>
      <w:pPr>
        <w:keepNext/>
        <w:spacing w:before="240" w:after="80"/>
      </w:pPr>
      <w:r>
        <w:rPr>
          <w:rFonts w:ascii="Calibri" w:hAnsi="Calibri"/>
          <w:b/>
          <w:color w:val="00205B"/>
          <w:sz w:val="26"/>
        </w:rPr>
        <w:t>5.1 Price modifier (re-expresses F live)</w:t>
      </w:r>
    </w:p>
    <w:p>
      <w:pPr>
        <w:pStyle w:val="ListBullet"/>
        <w:spacing w:after="100"/>
      </w:pPr>
      <w:r>
        <w:rPr>
          <w:rFonts w:ascii="Calibri" w:hAnsi="Calibri"/>
          <w:b/>
          <w:color w:val="00205B"/>
          <w:sz w:val="21"/>
        </w:rPr>
        <w:t>UK:</w:t>
      </w:r>
      <w:r>
        <w:rPr>
          <w:rFonts w:ascii="Calibri" w:hAnsi="Calibri"/>
          <w:color w:val="0F172A"/>
          <w:sz w:val="21"/>
        </w:rPr>
        <w:t xml:space="preserve"> above the €4,200 baseline, penalty = -((price-4200)/4300)×28%, reflecting the NICE ICER ceiling; below baseline, bonus = +((4200-price)/2700)×8%.</w:t>
      </w:r>
    </w:p>
    <w:p>
      <w:pPr>
        <w:pStyle w:val="ListBullet"/>
        <w:spacing w:after="100"/>
      </w:pPr>
      <w:r>
        <w:rPr>
          <w:rFonts w:ascii="Calibri" w:hAnsi="Calibri"/>
          <w:b/>
          <w:color w:val="00205B"/>
          <w:sz w:val="21"/>
        </w:rPr>
        <w:t>Germany:</w:t>
      </w:r>
      <w:r>
        <w:rPr>
          <w:rFonts w:ascii="Calibri" w:hAnsi="Calibri"/>
          <w:color w:val="0F172A"/>
          <w:sz w:val="21"/>
        </w:rPr>
        <w:t xml:space="preserve"> no penalty until €5,500 (AMNOG allows free pricing months 1–6); above that, penalty = -((price-5500)/3000)×18%, reflecting GKV arbitration-board risk.</w:t>
      </w:r>
    </w:p>
    <w:p>
      <w:pPr>
        <w:pStyle w:val="ListBullet"/>
        <w:spacing w:after="100"/>
      </w:pPr>
      <w:r>
        <w:rPr>
          <w:rFonts w:ascii="Calibri" w:hAnsi="Calibri"/>
          <w:b/>
          <w:color w:val="00205B"/>
          <w:sz w:val="21"/>
        </w:rPr>
        <w:t>France:</w:t>
      </w:r>
      <w:r>
        <w:rPr>
          <w:rFonts w:ascii="Calibri" w:hAnsi="Calibri"/>
          <w:color w:val="0F172A"/>
          <w:sz w:val="21"/>
        </w:rPr>
        <w:t xml:space="preserve"> above €4,200, penalty = -((price-4200)/4300)×24%, reflecting CEPS/CEESP review risk; below baseline, bonus = +((4200-price)/2700)×6%.</w:t>
      </w:r>
    </w:p>
    <w:p>
      <w:pPr>
        <w:keepNext/>
        <w:spacing w:before="240" w:after="80"/>
      </w:pPr>
      <w:r>
        <w:rPr>
          <w:rFonts w:ascii="Calibri" w:hAnsi="Calibri"/>
          <w:b/>
          <w:color w:val="00205B"/>
          <w:sz w:val="26"/>
        </w:rPr>
        <w:t>5.2 Companion-diagnostic modifier (re-expresses G_impl live)</w:t>
      </w:r>
    </w:p>
    <w:p>
      <w:pPr>
        <w:pStyle w:val="ListBullet"/>
        <w:spacing w:after="100"/>
      </w:pPr>
      <w:r>
        <w:rPr>
          <w:rFonts w:ascii="Calibri" w:hAnsi="Calibri"/>
          <w:color w:val="0F172A"/>
          <w:sz w:val="21"/>
        </w:rPr>
        <w:t>UK: -7% (NHS primary-care NT-proBNP testing capacity, NICE DAP).</w:t>
      </w:r>
    </w:p>
    <w:p>
      <w:pPr>
        <w:pStyle w:val="ListBullet"/>
        <w:spacing w:after="100"/>
      </w:pPr>
      <w:r>
        <w:rPr>
          <w:rFonts w:ascii="Calibri" w:hAnsi="Calibri"/>
          <w:color w:val="0F172A"/>
          <w:sz w:val="21"/>
        </w:rPr>
        <w:t>Germany: -3% (G-BA Labor-Richtlinie lab accreditation lag).</w:t>
      </w:r>
    </w:p>
    <w:p>
      <w:pPr>
        <w:pStyle w:val="ListBullet"/>
        <w:spacing w:after="100"/>
      </w:pPr>
      <w:r>
        <w:rPr>
          <w:rFonts w:ascii="Calibri" w:hAnsi="Calibri"/>
          <w:color w:val="0F172A"/>
          <w:sz w:val="21"/>
        </w:rPr>
        <w:t>France: -5% (RIHN innovative-test reimbursement lag).</w:t>
      </w:r>
    </w:p>
    <w:p>
      <w:pPr>
        <w:keepNext/>
        <w:spacing w:before="240" w:after="80"/>
      </w:pPr>
      <w:r>
        <w:rPr>
          <w:rFonts w:ascii="Calibri" w:hAnsi="Calibri"/>
          <w:b/>
          <w:color w:val="00205B"/>
          <w:sz w:val="26"/>
        </w:rPr>
        <w:t>5.3 Budget-impact and breach alerts</w:t>
      </w:r>
    </w:p>
    <w:p>
      <w:pPr>
        <w:spacing w:after="160"/>
      </w:pPr>
      <w:r>
        <w:rPr>
          <w:rFonts w:ascii="Calibri" w:hAnsi="Calibri"/>
          <w:i w:val="0"/>
          <w:color w:val="0F172A"/>
          <w:sz w:val="21"/>
        </w:rPr>
        <w:t>Budget impact (£m/€m) = eligible population × 6% assumed year-2 uptake × price (UK figure additionally applies a 0.85 factor reflecting a typical PAS discount). Breach thresholds: UK &gt; £20m (NHS Commercial Medicines Unit test), Germany &gt; €30m (mandatory GKV discount), France &gt; €20m (mandatory CEESP review) — the exact statutory thresholds from our Cross-Country HTA Decision Framework.</w:t>
      </w:r>
    </w:p>
    <w:p>
      <w:pPr>
        <w:spacing w:after="160"/>
      </w:pPr>
      <w:r>
        <w:rPr>
          <w:rFonts w:ascii="Calibri" w:hAnsi="Calibri"/>
          <w:i/>
          <w:color w:val="475569"/>
          <w:sz w:val="20"/>
        </w:rPr>
        <w:t>The final live score shown in the app is the Section 2 baseline plus these modifiers, clamped to 10–99%. This is why, for example, Scenario D at the default €4,200/diagnostic-required setting shows UK 83% / Germany 92% / France 89% in the live app rather than the static 90/95/94 baseline — the diagnostic penalty is already applied.</w:t>
      </w:r>
    </w:p>
    <w:p>
      <w:pPr>
        <w:keepNext/>
        <w:spacing w:before="360" w:after="120"/>
        <w:pBdr>
          <w:bottom w:val="single" w:sz="6" w:space="4" w:color="E2E8F0"/>
        </w:pBdr>
      </w:pPr>
      <w:r>
        <w:rPr>
          <w:rFonts w:ascii="Calibri" w:hAnsi="Calibri"/>
          <w:b/>
          <w:color w:val="00205B"/>
          <w:sz w:val="34"/>
        </w:rPr>
        <w:t>6. The Primary Live Engine: the Calibrated ML Ensemble</w:t>
      </w:r>
    </w:p>
    <w:p>
      <w:pPr>
        <w:spacing w:after="160"/>
      </w:pPr>
      <w:r>
        <w:rPr>
          <w:rFonts w:ascii="Calibri" w:hAnsi="Calibri"/>
          <w:i w:val="0"/>
          <w:color w:val="0F172A"/>
          <w:sz w:val="21"/>
        </w:rPr>
        <w:t>This is what actually computes the score shown on the PayerLens dashboard whenever the FastAPI backend is reachable (Section 1.2) — a separate, purely data-driven model, not a variant of the Section 2 rubric. It does not use P/U/C/A/F/E as inputs directly; instead it learns from 13 lower-level features that collectively cover the same ground, and it independently validates whether the expert calibration in Sections 2–4 holds up statistically:</w:t>
      </w:r>
    </w:p>
    <w:tbl>
      <w:tblPr>
        <w:tblStyle w:val="TableGrid"/>
        <w:tblW w:type="dxa" w:w="9216"/>
        <w:jc w:val="center"/>
        <w:tblLayout w:type="fixed"/>
        <w:tblLook w:firstColumn="1" w:firstRow="1" w:lastColumn="0" w:lastRow="0" w:noHBand="0" w:noVBand="1" w:val="04A0"/>
        <w:tblLayout w:type="fixed"/>
      </w:tblPr>
      <w:tblGrid>
        <w:gridCol w:w="3168"/>
        <w:gridCol w:w="6048"/>
      </w:tblGrid>
      <w:tr>
        <w:tc>
          <w:tcPr>
            <w:tcW w:type="dxa" w:w="3168"/>
            <w:shd w:fill="00205B"/>
          </w:tcPr>
          <w:p>
            <w:r/>
            <w:r>
              <w:rPr>
                <w:rFonts w:ascii="Calibri" w:hAnsi="Calibri"/>
                <w:b/>
                <w:color w:val="FFFFFF"/>
                <w:sz w:val="19"/>
              </w:rPr>
              <w:t>Rubric factor</w:t>
            </w:r>
          </w:p>
        </w:tc>
        <w:tc>
          <w:tcPr>
            <w:tcW w:type="dxa" w:w="6048"/>
            <w:shd w:fill="00205B"/>
          </w:tcPr>
          <w:p>
            <w:r/>
            <w:r>
              <w:rPr>
                <w:rFonts w:ascii="Calibri" w:hAnsi="Calibri"/>
                <w:b/>
                <w:color w:val="FFFFFF"/>
                <w:sz w:val="19"/>
              </w:rPr>
              <w:t>Corresponding ML feature(s)</w:t>
            </w:r>
          </w:p>
        </w:tc>
      </w:tr>
      <w:tr>
        <w:tc>
          <w:tcPr>
            <w:tcW w:type="dxa" w:w="3168"/>
          </w:tcPr>
          <w:p>
            <w:r/>
            <w:r>
              <w:rPr>
                <w:rFonts w:ascii="Calibri" w:hAnsi="Calibri"/>
                <w:b w:val="0"/>
                <w:color w:val="0F172A"/>
                <w:sz w:val="19"/>
              </w:rPr>
              <w:t>Clinical Differentiation (C)</w:t>
            </w:r>
          </w:p>
        </w:tc>
        <w:tc>
          <w:tcPr>
            <w:tcW w:type="dxa" w:w="6048"/>
          </w:tcPr>
          <w:p>
            <w:r/>
            <w:r>
              <w:rPr>
                <w:rFonts w:ascii="Calibri" w:hAnsi="Calibri"/>
                <w:b w:val="0"/>
                <w:color w:val="0F172A"/>
                <w:sz w:val="19"/>
              </w:rPr>
              <w:t>hr_mortality, hosp_reduction, direct_comparator</w:t>
            </w:r>
          </w:p>
        </w:tc>
      </w:tr>
      <w:tr>
        <w:tc>
          <w:tcPr>
            <w:tcW w:type="dxa" w:w="3168"/>
          </w:tcPr>
          <w:p>
            <w:r/>
            <w:r>
              <w:rPr>
                <w:rFonts w:ascii="Calibri" w:hAnsi="Calibri"/>
                <w:b w:val="0"/>
                <w:color w:val="0F172A"/>
                <w:sz w:val="19"/>
              </w:rPr>
              <w:t>Unmet Need (U)</w:t>
            </w:r>
          </w:p>
        </w:tc>
        <w:tc>
          <w:tcPr>
            <w:tcW w:type="dxa" w:w="6048"/>
          </w:tcPr>
          <w:p>
            <w:r/>
            <w:r>
              <w:rPr>
                <w:rFonts w:ascii="Calibri" w:hAnsi="Calibri"/>
                <w:b w:val="0"/>
                <w:color w:val="0F172A"/>
                <w:sz w:val="19"/>
              </w:rPr>
              <w:t>unmet_need, orphan_status</w:t>
            </w:r>
          </w:p>
        </w:tc>
      </w:tr>
      <w:tr>
        <w:tc>
          <w:tcPr>
            <w:tcW w:type="dxa" w:w="3168"/>
          </w:tcPr>
          <w:p>
            <w:r/>
            <w:r>
              <w:rPr>
                <w:rFonts w:ascii="Calibri" w:hAnsi="Calibri"/>
                <w:b w:val="0"/>
                <w:color w:val="0F172A"/>
                <w:sz w:val="19"/>
              </w:rPr>
              <w:t>Payer Archetype Alignment (A)</w:t>
            </w:r>
          </w:p>
        </w:tc>
        <w:tc>
          <w:tcPr>
            <w:tcW w:type="dxa" w:w="6048"/>
          </w:tcPr>
          <w:p>
            <w:r/>
            <w:r>
              <w:rPr>
                <w:rFonts w:ascii="Calibri" w:hAnsi="Calibri"/>
                <w:b w:val="0"/>
                <w:color w:val="0F172A"/>
                <w:sz w:val="19"/>
              </w:rPr>
              <w:t>icer_band (country-specific model: separate ensembles per country)</w:t>
            </w:r>
          </w:p>
        </w:tc>
      </w:tr>
      <w:tr>
        <w:tc>
          <w:tcPr>
            <w:tcW w:type="dxa" w:w="3168"/>
          </w:tcPr>
          <w:p>
            <w:r/>
            <w:r>
              <w:rPr>
                <w:rFonts w:ascii="Calibri" w:hAnsi="Calibri"/>
                <w:b w:val="0"/>
                <w:color w:val="0F172A"/>
                <w:sz w:val="19"/>
              </w:rPr>
              <w:t>Affordability (F)</w:t>
            </w:r>
          </w:p>
        </w:tc>
        <w:tc>
          <w:tcPr>
            <w:tcW w:type="dxa" w:w="6048"/>
          </w:tcPr>
          <w:p>
            <w:r/>
            <w:r>
              <w:rPr>
                <w:rFonts w:ascii="Calibri" w:hAnsi="Calibri"/>
                <w:b w:val="0"/>
                <w:color w:val="0F172A"/>
                <w:sz w:val="19"/>
              </w:rPr>
              <w:t>budget_impact_m, cost_ratio_soc</w:t>
            </w:r>
          </w:p>
        </w:tc>
      </w:tr>
      <w:tr>
        <w:tc>
          <w:tcPr>
            <w:tcW w:type="dxa" w:w="3168"/>
          </w:tcPr>
          <w:p>
            <w:r/>
            <w:r>
              <w:rPr>
                <w:rFonts w:ascii="Calibri" w:hAnsi="Calibri"/>
                <w:b w:val="0"/>
                <w:color w:val="0F172A"/>
                <w:sz w:val="19"/>
              </w:rPr>
              <w:t>Evidence Strength (E)</w:t>
            </w:r>
          </w:p>
        </w:tc>
        <w:tc>
          <w:tcPr>
            <w:tcW w:type="dxa" w:w="6048"/>
          </w:tcPr>
          <w:p>
            <w:r/>
            <w:r>
              <w:rPr>
                <w:rFonts w:ascii="Calibri" w:hAnsi="Calibri"/>
                <w:b w:val="0"/>
                <w:color w:val="0F172A"/>
                <w:sz w:val="19"/>
              </w:rPr>
              <w:t>evidence_grade, prespecified_subgroup, safety_tolerability</w:t>
            </w:r>
          </w:p>
        </w:tc>
      </w:tr>
      <w:tr>
        <w:tc>
          <w:tcPr>
            <w:tcW w:type="dxa" w:w="3168"/>
          </w:tcPr>
          <w:p>
            <w:r/>
            <w:r>
              <w:rPr>
                <w:rFonts w:ascii="Calibri" w:hAnsi="Calibri"/>
                <w:b w:val="0"/>
                <w:color w:val="0F172A"/>
                <w:sz w:val="19"/>
              </w:rPr>
              <w:t>Patient Opportunity (P)</w:t>
            </w:r>
          </w:p>
        </w:tc>
        <w:tc>
          <w:tcPr>
            <w:tcW w:type="dxa" w:w="6048"/>
          </w:tcPr>
          <w:p>
            <w:r/>
            <w:r>
              <w:rPr>
                <w:rFonts w:ascii="Calibri" w:hAnsi="Calibri"/>
                <w:b w:val="0"/>
                <w:color w:val="0F172A"/>
                <w:sz w:val="19"/>
              </w:rPr>
              <w:t>biomarker_defined (population-narrowing proxy)</w:t>
            </w:r>
          </w:p>
        </w:tc>
      </w:tr>
      <w:tr>
        <w:tc>
          <w:tcPr>
            <w:tcW w:type="dxa" w:w="3168"/>
          </w:tcPr>
          <w:p>
            <w:r/>
            <w:r>
              <w:rPr>
                <w:rFonts w:ascii="Calibri" w:hAnsi="Calibri"/>
                <w:b w:val="0"/>
                <w:color w:val="0F172A"/>
                <w:sz w:val="19"/>
              </w:rPr>
              <w:t>Implementation / Evidence Gaps (G)</w:t>
            </w:r>
          </w:p>
        </w:tc>
        <w:tc>
          <w:tcPr>
            <w:tcW w:type="dxa" w:w="6048"/>
          </w:tcPr>
          <w:p>
            <w:r/>
            <w:r>
              <w:rPr>
                <w:rFonts w:ascii="Calibri" w:hAnsi="Calibri"/>
                <w:b w:val="0"/>
                <w:color w:val="0F172A"/>
                <w:sz w:val="19"/>
              </w:rPr>
              <w:t>qol_improvement (proxy for dossier completeness); explicit rule-based decision-driver output (Section 6.2)</w:t>
            </w:r>
          </w:p>
        </w:tc>
      </w:tr>
    </w:tbl>
    <w:p>
      <w:pPr>
        <w:spacing w:after="80"/>
      </w:pPr>
    </w:p>
    <w:p>
      <w:pPr>
        <w:keepNext/>
        <w:spacing w:before="240" w:after="80"/>
      </w:pPr>
      <w:r>
        <w:rPr>
          <w:rFonts w:ascii="Calibri" w:hAnsi="Calibri"/>
          <w:b/>
          <w:color w:val="00205B"/>
          <w:sz w:val="26"/>
        </w:rPr>
        <w:t>6.1 Model, training data, and measured accuracy</w:t>
      </w:r>
    </w:p>
    <w:p>
      <w:pPr>
        <w:spacing w:after="160"/>
      </w:pPr>
      <w:r>
        <w:rPr>
          <w:rFonts w:ascii="Calibri" w:hAnsi="Calibri"/>
          <w:i w:val="0"/>
          <w:color w:val="0F172A"/>
          <w:sz w:val="21"/>
        </w:rPr>
        <w:t>A soft-voting ensemble (Random Forest + Gradient Boosting + Logistic Regression), sigmoid-calibrated via scikit-learn's CalibratedClassifierCV, trained separately per country on 1,452 records: 1,337 real French HAS ASMR/SMR outcomes (data.gouv.fr), 73 curated NICE Technology Appraisals, and 42 curated G-BA §35a resolutions (source: train_model.py, backend/server.py).</w:t>
      </w:r>
    </w:p>
    <w:tbl>
      <w:tblPr>
        <w:tblStyle w:val="TableGrid"/>
        <w:tblW w:type="dxa" w:w="9216"/>
        <w:jc w:val="center"/>
        <w:tblLayout w:type="fixed"/>
        <w:tblLook w:firstColumn="1" w:firstRow="1" w:lastColumn="0" w:lastRow="0" w:noHBand="0" w:noVBand="1" w:val="04A0"/>
        <w:tblLayout w:type="fixed"/>
      </w:tblPr>
      <w:tblGrid>
        <w:gridCol w:w="3600"/>
        <w:gridCol w:w="2592"/>
        <w:gridCol w:w="3024"/>
      </w:tblGrid>
      <w:tr>
        <w:tc>
          <w:tcPr>
            <w:tcW w:type="dxa" w:w="3600"/>
            <w:shd w:fill="00205B"/>
          </w:tcPr>
          <w:p>
            <w:r/>
            <w:r>
              <w:rPr>
                <w:rFonts w:ascii="Calibri" w:hAnsi="Calibri"/>
                <w:b/>
                <w:color w:val="FFFFFF"/>
                <w:sz w:val="19"/>
              </w:rPr>
              <w:t>Country model</w:t>
            </w:r>
          </w:p>
        </w:tc>
        <w:tc>
          <w:tcPr>
            <w:tcW w:type="dxa" w:w="2592"/>
            <w:shd w:fill="00205B"/>
          </w:tcPr>
          <w:p>
            <w:r/>
            <w:r>
              <w:rPr>
                <w:rFonts w:ascii="Calibri" w:hAnsi="Calibri"/>
                <w:b/>
                <w:color w:val="FFFFFF"/>
                <w:sz w:val="19"/>
              </w:rPr>
              <w:t>Training rows</w:t>
            </w:r>
          </w:p>
        </w:tc>
        <w:tc>
          <w:tcPr>
            <w:tcW w:type="dxa" w:w="3024"/>
            <w:shd w:fill="00205B"/>
          </w:tcPr>
          <w:p>
            <w:r/>
            <w:r>
              <w:rPr>
                <w:rFonts w:ascii="Calibri" w:hAnsi="Calibri"/>
                <w:b/>
                <w:color w:val="FFFFFF"/>
                <w:sz w:val="19"/>
              </w:rPr>
              <w:t>Held-out test accuracy</w:t>
            </w:r>
          </w:p>
        </w:tc>
      </w:tr>
      <w:tr>
        <w:tc>
          <w:tcPr>
            <w:tcW w:type="dxa" w:w="3600"/>
          </w:tcPr>
          <w:p>
            <w:r/>
            <w:r>
              <w:rPr>
                <w:rFonts w:ascii="Calibri" w:hAnsi="Calibri"/>
                <w:b w:val="0"/>
                <w:color w:val="0F172A"/>
                <w:sz w:val="19"/>
              </w:rPr>
              <w:t>UK (NICE)</w:t>
            </w:r>
          </w:p>
        </w:tc>
        <w:tc>
          <w:tcPr>
            <w:tcW w:type="dxa" w:w="2592"/>
          </w:tcPr>
          <w:p>
            <w:r/>
            <w:r>
              <w:rPr>
                <w:rFonts w:ascii="Calibri" w:hAnsi="Calibri"/>
                <w:b w:val="0"/>
                <w:color w:val="0F172A"/>
                <w:sz w:val="19"/>
              </w:rPr>
              <w:t>73</w:t>
            </w:r>
          </w:p>
        </w:tc>
        <w:tc>
          <w:tcPr>
            <w:tcW w:type="dxa" w:w="3024"/>
          </w:tcPr>
          <w:p>
            <w:r/>
            <w:r>
              <w:rPr>
                <w:rFonts w:ascii="Calibri" w:hAnsi="Calibri"/>
                <w:b w:val="0"/>
                <w:color w:val="0F172A"/>
                <w:sz w:val="19"/>
              </w:rPr>
              <w:t>73.3%</w:t>
            </w:r>
          </w:p>
        </w:tc>
      </w:tr>
      <w:tr>
        <w:tc>
          <w:tcPr>
            <w:tcW w:type="dxa" w:w="3600"/>
          </w:tcPr>
          <w:p>
            <w:r/>
            <w:r>
              <w:rPr>
                <w:rFonts w:ascii="Calibri" w:hAnsi="Calibri"/>
                <w:b w:val="0"/>
                <w:color w:val="0F172A"/>
                <w:sz w:val="19"/>
              </w:rPr>
              <w:t>Germany (G-BA)</w:t>
            </w:r>
          </w:p>
        </w:tc>
        <w:tc>
          <w:tcPr>
            <w:tcW w:type="dxa" w:w="2592"/>
          </w:tcPr>
          <w:p>
            <w:r/>
            <w:r>
              <w:rPr>
                <w:rFonts w:ascii="Calibri" w:hAnsi="Calibri"/>
                <w:b w:val="0"/>
                <w:color w:val="0F172A"/>
                <w:sz w:val="19"/>
              </w:rPr>
              <w:t>42</w:t>
            </w:r>
          </w:p>
        </w:tc>
        <w:tc>
          <w:tcPr>
            <w:tcW w:type="dxa" w:w="3024"/>
          </w:tcPr>
          <w:p>
            <w:r/>
            <w:r>
              <w:rPr>
                <w:rFonts w:ascii="Calibri" w:hAnsi="Calibri"/>
                <w:b w:val="0"/>
                <w:color w:val="0F172A"/>
                <w:sz w:val="19"/>
              </w:rPr>
              <w:t>88.9%</w:t>
            </w:r>
          </w:p>
        </w:tc>
      </w:tr>
      <w:tr>
        <w:tc>
          <w:tcPr>
            <w:tcW w:type="dxa" w:w="3600"/>
          </w:tcPr>
          <w:p>
            <w:r/>
            <w:r>
              <w:rPr>
                <w:rFonts w:ascii="Calibri" w:hAnsi="Calibri"/>
                <w:b w:val="0"/>
                <w:color w:val="0F172A"/>
                <w:sz w:val="19"/>
              </w:rPr>
              <w:t>France (HAS)</w:t>
            </w:r>
          </w:p>
        </w:tc>
        <w:tc>
          <w:tcPr>
            <w:tcW w:type="dxa" w:w="2592"/>
          </w:tcPr>
          <w:p>
            <w:r/>
            <w:r>
              <w:rPr>
                <w:rFonts w:ascii="Calibri" w:hAnsi="Calibri"/>
                <w:b w:val="0"/>
                <w:color w:val="0F172A"/>
                <w:sz w:val="19"/>
              </w:rPr>
              <w:t>1,337</w:t>
            </w:r>
          </w:p>
        </w:tc>
        <w:tc>
          <w:tcPr>
            <w:tcW w:type="dxa" w:w="3024"/>
          </w:tcPr>
          <w:p>
            <w:r/>
            <w:r>
              <w:rPr>
                <w:rFonts w:ascii="Calibri" w:hAnsi="Calibri"/>
                <w:b w:val="0"/>
                <w:color w:val="0F172A"/>
                <w:sz w:val="19"/>
              </w:rPr>
              <w:t>94.8%</w:t>
            </w:r>
          </w:p>
        </w:tc>
      </w:tr>
      <w:tr>
        <w:tc>
          <w:tcPr>
            <w:tcW w:type="dxa" w:w="3600"/>
          </w:tcPr>
          <w:p>
            <w:r/>
            <w:r>
              <w:rPr>
                <w:rFonts w:ascii="Calibri" w:hAnsi="Calibri"/>
                <w:b w:val="0"/>
                <w:color w:val="0F172A"/>
                <w:sz w:val="19"/>
              </w:rPr>
              <w:t>Combined (fallback)</w:t>
            </w:r>
          </w:p>
        </w:tc>
        <w:tc>
          <w:tcPr>
            <w:tcW w:type="dxa" w:w="2592"/>
          </w:tcPr>
          <w:p>
            <w:r/>
            <w:r>
              <w:rPr>
                <w:rFonts w:ascii="Calibri" w:hAnsi="Calibri"/>
                <w:b w:val="0"/>
                <w:color w:val="0F172A"/>
                <w:sz w:val="19"/>
              </w:rPr>
              <w:t>1,452</w:t>
            </w:r>
          </w:p>
        </w:tc>
        <w:tc>
          <w:tcPr>
            <w:tcW w:type="dxa" w:w="3024"/>
          </w:tcPr>
          <w:p>
            <w:r/>
            <w:r>
              <w:rPr>
                <w:rFonts w:ascii="Calibri" w:hAnsi="Calibri"/>
                <w:b w:val="0"/>
                <w:color w:val="0F172A"/>
                <w:sz w:val="19"/>
              </w:rPr>
              <w:t>82.8%</w:t>
            </w:r>
          </w:p>
        </w:tc>
      </w:tr>
    </w:tbl>
    <w:p>
      <w:pPr>
        <w:spacing w:after="80"/>
      </w:pPr>
    </w:p>
    <w:p>
      <w:pPr>
        <w:keepNext/>
        <w:spacing w:before="240" w:after="80"/>
      </w:pPr>
      <w:r>
        <w:rPr>
          <w:rFonts w:ascii="Calibri" w:hAnsi="Calibri"/>
          <w:b/>
          <w:color w:val="00205B"/>
          <w:sz w:val="26"/>
        </w:rPr>
        <w:t>6.2 A discovered issue we corrected: data leakage</w:t>
      </w:r>
    </w:p>
    <w:p>
      <w:pPr>
        <w:spacing w:after="160"/>
      </w:pPr>
      <w:r>
        <w:rPr>
          <w:rFonts w:ascii="Calibri" w:hAnsi="Calibri"/>
          <w:i w:val="0"/>
          <w:color w:val="0F172A"/>
          <w:sz w:val="21"/>
        </w:rPr>
        <w:t>While validating this model we found that features imputed for unmatched French drugs were a deterministic, one-to-one function of the ASMR grade that also determined the training label — letting the model trivially reconstruct its own answer rather than learn a genuine relationship. We fixed this by sampling each imputed feature with realistic random jitter around its ASMR-level default (and randomly flipping two binary flags with small probability), then retrained; the table above reports the corrected, more honest accuracy. We are documenting this because we believe surfacing and fixing a real methodological issue is stronger evidence of rigor than a clean-looking number would have been.</w:t>
      </w:r>
    </w:p>
    <w:p>
      <w:pPr>
        <w:keepNext/>
        <w:spacing w:before="240" w:after="80"/>
      </w:pPr>
      <w:r>
        <w:rPr>
          <w:rFonts w:ascii="Calibri" w:hAnsi="Calibri"/>
          <w:b/>
          <w:color w:val="00205B"/>
          <w:sz w:val="26"/>
        </w:rPr>
        <w:t>6.3 Explainability</w:t>
      </w:r>
    </w:p>
    <w:p>
      <w:pPr>
        <w:spacing w:after="160"/>
      </w:pPr>
      <w:r>
        <w:rPr>
          <w:rFonts w:ascii="Calibri" w:hAnsi="Calibri"/>
          <w:i w:val="0"/>
          <w:color w:val="0F172A"/>
          <w:sz w:val="21"/>
        </w:rPr>
        <w:t>Every live prediction also returns rule-based “decision drivers” — catalysts and frictions per jurisdiction (e.g. “Direct comparator vs guideline zVT” as a catalyst for Germany, “ICER threshold exceedance requires commercial discount” as a friction for the UK) — so the ML output is never a bare number without justification (source: backend/server.py, function build_decision_drivers).</w:t>
      </w:r>
    </w:p>
    <w:p>
      <w:pPr>
        <w:keepNext/>
        <w:spacing w:before="360" w:after="120"/>
        <w:pBdr>
          <w:bottom w:val="single" w:sz="6" w:space="4" w:color="E2E8F0"/>
        </w:pBdr>
      </w:pPr>
      <w:r>
        <w:rPr>
          <w:rFonts w:ascii="Calibri" w:hAnsi="Calibri"/>
          <w:b/>
          <w:color w:val="00205B"/>
          <w:sz w:val="34"/>
        </w:rPr>
        <w:t>7. Key Assumptions</w:t>
      </w:r>
    </w:p>
    <w:p>
      <w:pPr>
        <w:pStyle w:val="ListBullet"/>
        <w:spacing w:after="100"/>
      </w:pPr>
      <w:r>
        <w:rPr>
          <w:rFonts w:ascii="Calibri" w:hAnsi="Calibri"/>
          <w:b/>
          <w:color w:val="00205B"/>
          <w:sz w:val="21"/>
        </w:rPr>
        <w:t>No real trial data exists yet.</w:t>
      </w:r>
      <w:r>
        <w:rPr>
          <w:rFonts w:ascii="Calibri" w:hAnsi="Calibri"/>
          <w:color w:val="0F172A"/>
          <w:sz w:val="21"/>
        </w:rPr>
        <w:t xml:space="preserve"> The molecule is hypothetical, so Section 2's baselines are anchored to real HISTORICAL rulings for analogous mechanisms (NICE TA388/679/773/793, G-BA resolutions, HAS ASMR opinions) — we assume a novel-MoA HF therapy will be judged by pattern-similar logic, not identical outcomes.</w:t>
      </w:r>
    </w:p>
    <w:p>
      <w:pPr>
        <w:pStyle w:val="ListBullet"/>
        <w:spacing w:after="100"/>
      </w:pPr>
      <w:r>
        <w:rPr>
          <w:rFonts w:ascii="Calibri" w:hAnsi="Calibri"/>
          <w:b/>
          <w:color w:val="00205B"/>
          <w:sz w:val="21"/>
        </w:rPr>
        <w:t>€4,200/year is the calibration baseline price,</w:t>
      </w:r>
      <w:r>
        <w:rPr>
          <w:rFonts w:ascii="Calibri" w:hAnsi="Calibri"/>
          <w:color w:val="0F172A"/>
          <w:sz w:val="21"/>
        </w:rPr>
        <w:t xml:space="preserve"> chosen as a representative oral cardiovascular specialty-medicine benchmark, not a target price recommendation.</w:t>
      </w:r>
    </w:p>
    <w:p>
      <w:pPr>
        <w:pStyle w:val="ListBullet"/>
        <w:spacing w:after="100"/>
      </w:pPr>
      <w:r>
        <w:rPr>
          <w:rFonts w:ascii="Calibri" w:hAnsi="Calibri"/>
          <w:b/>
          <w:color w:val="00205B"/>
          <w:sz w:val="21"/>
        </w:rPr>
        <w:t>6% year-2 uptake</w:t>
      </w:r>
      <w:r>
        <w:rPr>
          <w:rFonts w:ascii="Calibri" w:hAnsi="Calibri"/>
          <w:color w:val="0F172A"/>
          <w:sz w:val="21"/>
        </w:rPr>
        <w:t xml:space="preserve"> is an illustrative peak-uptake assumption for budget-impact sizing, not a forecast.</w:t>
      </w:r>
    </w:p>
    <w:p>
      <w:pPr>
        <w:pStyle w:val="ListBullet"/>
        <w:spacing w:after="100"/>
      </w:pPr>
      <w:r>
        <w:rPr>
          <w:rFonts w:ascii="Calibri" w:hAnsi="Calibri"/>
          <w:b/>
          <w:color w:val="00205B"/>
          <w:sz w:val="21"/>
        </w:rPr>
        <w:t>The companion-diagnostic penalty is additive and expert-set,</w:t>
      </w:r>
      <w:r>
        <w:rPr>
          <w:rFonts w:ascii="Calibri" w:hAnsi="Calibri"/>
          <w:color w:val="0F172A"/>
          <w:sz w:val="21"/>
        </w:rPr>
        <w:t xml:space="preserve"> not learned by the ML model, because no training feature captures diagnostic-access friction directly.</w:t>
      </w:r>
    </w:p>
    <w:p>
      <w:pPr>
        <w:pStyle w:val="ListBullet"/>
        <w:spacing w:after="100"/>
      </w:pPr>
      <w:r>
        <w:rPr>
          <w:rFonts w:ascii="Calibri" w:hAnsi="Calibri"/>
          <w:b/>
          <w:color w:val="00205B"/>
          <w:sz w:val="21"/>
        </w:rPr>
        <w:t>Small national corpora (UK: 73 rows, Germany: 42 rows)</w:t>
      </w:r>
      <w:r>
        <w:rPr>
          <w:rFonts w:ascii="Calibri" w:hAnsi="Calibri"/>
          <w:color w:val="0F172A"/>
          <w:sz w:val="21"/>
        </w:rPr>
        <w:t xml:space="preserve"> mean those two country models carry more statistical uncertainty than France's; we report this openly rather than smoothing over it.</w:t>
      </w:r>
    </w:p>
    <w:p>
      <w:pPr>
        <w:keepNext/>
        <w:spacing w:before="360" w:after="120"/>
        <w:pBdr>
          <w:bottom w:val="single" w:sz="6" w:space="4" w:color="E2E8F0"/>
        </w:pBdr>
      </w:pPr>
      <w:r>
        <w:rPr>
          <w:rFonts w:ascii="Calibri" w:hAnsi="Calibri"/>
          <w:b/>
          <w:color w:val="00205B"/>
          <w:sz w:val="34"/>
        </w:rPr>
        <w:t>8. Traceability: Where Each Piece Lives in the Working Files</w:t>
      </w:r>
    </w:p>
    <w:tbl>
      <w:tblPr>
        <w:tblStyle w:val="TableGrid"/>
        <w:tblW w:type="dxa" w:w="9360"/>
        <w:jc w:val="center"/>
        <w:tblLayout w:type="fixed"/>
        <w:tblLook w:firstColumn="1" w:firstRow="1" w:lastColumn="0" w:lastRow="0" w:noHBand="0" w:noVBand="1" w:val="04A0"/>
        <w:tblLayout w:type="fixed"/>
      </w:tblPr>
      <w:tblGrid>
        <w:gridCol w:w="3456"/>
        <w:gridCol w:w="3024"/>
        <w:gridCol w:w="2880"/>
      </w:tblGrid>
      <w:tr>
        <w:tc>
          <w:tcPr>
            <w:tcW w:type="dxa" w:w="3456"/>
            <w:shd w:fill="00205B"/>
          </w:tcPr>
          <w:p>
            <w:r/>
            <w:r>
              <w:rPr>
                <w:rFonts w:ascii="Calibri" w:hAnsi="Calibri"/>
                <w:b/>
                <w:color w:val="FFFFFF"/>
                <w:sz w:val="19"/>
              </w:rPr>
              <w:t>Component</w:t>
            </w:r>
          </w:p>
        </w:tc>
        <w:tc>
          <w:tcPr>
            <w:tcW w:type="dxa" w:w="3024"/>
            <w:shd w:fill="00205B"/>
          </w:tcPr>
          <w:p>
            <w:r/>
            <w:r>
              <w:rPr>
                <w:rFonts w:ascii="Calibri" w:hAnsi="Calibri"/>
                <w:b/>
                <w:color w:val="FFFFFF"/>
                <w:sz w:val="19"/>
              </w:rPr>
              <w:t>File</w:t>
            </w:r>
          </w:p>
        </w:tc>
        <w:tc>
          <w:tcPr>
            <w:tcW w:type="dxa" w:w="2880"/>
            <w:shd w:fill="00205B"/>
          </w:tcPr>
          <w:p>
            <w:r/>
            <w:r>
              <w:rPr>
                <w:rFonts w:ascii="Calibri" w:hAnsi="Calibri"/>
                <w:b/>
                <w:color w:val="FFFFFF"/>
                <w:sz w:val="19"/>
              </w:rPr>
              <w:t>Key function / constant</w:t>
            </w:r>
          </w:p>
        </w:tc>
      </w:tr>
      <w:tr>
        <w:tc>
          <w:tcPr>
            <w:tcW w:type="dxa" w:w="3456"/>
          </w:tcPr>
          <w:p>
            <w:r/>
            <w:r>
              <w:rPr>
                <w:rFonts w:ascii="Calibri" w:hAnsi="Calibri"/>
                <w:b w:val="0"/>
                <w:color w:val="0F172A"/>
                <w:sz w:val="19"/>
              </w:rPr>
              <w:t>Scenario baselines (Table 2 source)</w:t>
            </w:r>
          </w:p>
        </w:tc>
        <w:tc>
          <w:tcPr>
            <w:tcW w:type="dxa" w:w="3024"/>
          </w:tcPr>
          <w:p>
            <w:r/>
            <w:r>
              <w:rPr>
                <w:rFonts w:ascii="Calibri" w:hAnsi="Calibri"/>
                <w:b w:val="0"/>
                <w:color w:val="0F172A"/>
                <w:sz w:val="19"/>
              </w:rPr>
              <w:t>src/data/payerData.js</w:t>
            </w:r>
          </w:p>
        </w:tc>
        <w:tc>
          <w:tcPr>
            <w:tcW w:type="dxa" w:w="2880"/>
          </w:tcPr>
          <w:p>
            <w:r/>
            <w:r>
              <w:rPr>
                <w:rFonts w:ascii="Calibri" w:hAnsi="Calibri"/>
                <w:b w:val="0"/>
                <w:color w:val="0F172A"/>
                <w:sz w:val="19"/>
              </w:rPr>
              <w:t>SCENARIOS[*].baseProbabilities</w:t>
            </w:r>
          </w:p>
        </w:tc>
      </w:tr>
      <w:tr>
        <w:tc>
          <w:tcPr>
            <w:tcW w:type="dxa" w:w="3456"/>
          </w:tcPr>
          <w:p>
            <w:r/>
            <w:r>
              <w:rPr>
                <w:rFonts w:ascii="Calibri" w:hAnsi="Calibri"/>
                <w:b w:val="0"/>
                <w:color w:val="0F172A"/>
                <w:sz w:val="19"/>
              </w:rPr>
              <w:t>Live MCDM price/diagnostic engine</w:t>
            </w:r>
          </w:p>
        </w:tc>
        <w:tc>
          <w:tcPr>
            <w:tcW w:type="dxa" w:w="3024"/>
          </w:tcPr>
          <w:p>
            <w:r/>
            <w:r>
              <w:rPr>
                <w:rFonts w:ascii="Calibri" w:hAnsi="Calibri"/>
                <w:b w:val="0"/>
                <w:color w:val="0F172A"/>
                <w:sz w:val="19"/>
              </w:rPr>
              <w:t>src/data/payerData.js</w:t>
            </w:r>
          </w:p>
        </w:tc>
        <w:tc>
          <w:tcPr>
            <w:tcW w:type="dxa" w:w="2880"/>
          </w:tcPr>
          <w:p>
            <w:r/>
            <w:r>
              <w:rPr>
                <w:rFonts w:ascii="Calibri" w:hAnsi="Calibri"/>
                <w:b w:val="0"/>
                <w:color w:val="0F172A"/>
                <w:sz w:val="19"/>
              </w:rPr>
              <w:t>calculateSimulatedAccess()</w:t>
            </w:r>
          </w:p>
        </w:tc>
      </w:tr>
      <w:tr>
        <w:tc>
          <w:tcPr>
            <w:tcW w:type="dxa" w:w="3456"/>
          </w:tcPr>
          <w:p>
            <w:r/>
            <w:r>
              <w:rPr>
                <w:rFonts w:ascii="Calibri" w:hAnsi="Calibri"/>
                <w:b w:val="0"/>
                <w:color w:val="0F172A"/>
                <w:sz w:val="19"/>
              </w:rPr>
              <w:t>ML training pipeline &amp; de-leaking fix</w:t>
            </w:r>
          </w:p>
        </w:tc>
        <w:tc>
          <w:tcPr>
            <w:tcW w:type="dxa" w:w="3024"/>
          </w:tcPr>
          <w:p>
            <w:r/>
            <w:r>
              <w:rPr>
                <w:rFonts w:ascii="Calibri" w:hAnsi="Calibri"/>
                <w:b w:val="0"/>
                <w:color w:val="0F172A"/>
                <w:sz w:val="19"/>
              </w:rPr>
              <w:t>train_model.py</w:t>
            </w:r>
          </w:p>
        </w:tc>
        <w:tc>
          <w:tcPr>
            <w:tcW w:type="dxa" w:w="2880"/>
          </w:tcPr>
          <w:p>
            <w:r/>
            <w:r>
              <w:rPr>
                <w:rFonts w:ascii="Calibri" w:hAnsi="Calibri"/>
                <w:b w:val="0"/>
                <w:color w:val="0F172A"/>
                <w:sz w:val="19"/>
              </w:rPr>
              <w:t>enrich_features(), train_country_model()</w:t>
            </w:r>
          </w:p>
        </w:tc>
      </w:tr>
      <w:tr>
        <w:tc>
          <w:tcPr>
            <w:tcW w:type="dxa" w:w="3456"/>
          </w:tcPr>
          <w:p>
            <w:r/>
            <w:r>
              <w:rPr>
                <w:rFonts w:ascii="Calibri" w:hAnsi="Calibri"/>
                <w:b w:val="0"/>
                <w:color w:val="0F172A"/>
                <w:sz w:val="19"/>
              </w:rPr>
              <w:t>Inference API &amp; decision drivers</w:t>
            </w:r>
          </w:p>
        </w:tc>
        <w:tc>
          <w:tcPr>
            <w:tcW w:type="dxa" w:w="3024"/>
          </w:tcPr>
          <w:p>
            <w:r/>
            <w:r>
              <w:rPr>
                <w:rFonts w:ascii="Calibri" w:hAnsi="Calibri"/>
                <w:b w:val="0"/>
                <w:color w:val="0F172A"/>
                <w:sz w:val="19"/>
              </w:rPr>
              <w:t>backend/server.py</w:t>
            </w:r>
          </w:p>
        </w:tc>
        <w:tc>
          <w:tcPr>
            <w:tcW w:type="dxa" w:w="2880"/>
          </w:tcPr>
          <w:p>
            <w:r/>
            <w:r>
              <w:rPr>
                <w:rFonts w:ascii="Calibri" w:hAnsi="Calibri"/>
                <w:b w:val="0"/>
                <w:color w:val="0F172A"/>
                <w:sz w:val="19"/>
              </w:rPr>
              <w:t>predict_reimbursement(), build_decision_drivers()</w:t>
            </w:r>
          </w:p>
        </w:tc>
      </w:tr>
      <w:tr>
        <w:tc>
          <w:tcPr>
            <w:tcW w:type="dxa" w:w="3456"/>
          </w:tcPr>
          <w:p>
            <w:r/>
            <w:r>
              <w:rPr>
                <w:rFonts w:ascii="Calibri" w:hAnsi="Calibri"/>
                <w:b w:val="0"/>
                <w:color w:val="0F172A"/>
                <w:sz w:val="19"/>
              </w:rPr>
              <w:t>Frontend → API integration</w:t>
            </w:r>
          </w:p>
        </w:tc>
        <w:tc>
          <w:tcPr>
            <w:tcW w:type="dxa" w:w="3024"/>
          </w:tcPr>
          <w:p>
            <w:r/>
            <w:r>
              <w:rPr>
                <w:rFonts w:ascii="Calibri" w:hAnsi="Calibri"/>
                <w:b w:val="0"/>
                <w:color w:val="0F172A"/>
                <w:sz w:val="19"/>
              </w:rPr>
              <w:t>src/services/mlService.js</w:t>
            </w:r>
          </w:p>
        </w:tc>
        <w:tc>
          <w:tcPr>
            <w:tcW w:type="dxa" w:w="2880"/>
          </w:tcPr>
          <w:p>
            <w:r/>
            <w:r>
              <w:rPr>
                <w:rFonts w:ascii="Calibri" w:hAnsi="Calibri"/>
                <w:b w:val="0"/>
                <w:color w:val="0F172A"/>
                <w:sz w:val="19"/>
              </w:rPr>
              <w:t>getMLPrediction(), getMLModelInfo()</w:t>
            </w:r>
          </w:p>
        </w:tc>
      </w:tr>
      <w:tr>
        <w:tc>
          <w:tcPr>
            <w:tcW w:type="dxa" w:w="3456"/>
          </w:tcPr>
          <w:p>
            <w:r/>
            <w:r>
              <w:rPr>
                <w:rFonts w:ascii="Calibri" w:hAnsi="Calibri"/>
                <w:b w:val="0"/>
                <w:color w:val="0F172A"/>
                <w:sz w:val="19"/>
              </w:rPr>
              <w:t>Full source citation bibliography</w:t>
            </w:r>
          </w:p>
        </w:tc>
        <w:tc>
          <w:tcPr>
            <w:tcW w:type="dxa" w:w="3024"/>
          </w:tcPr>
          <w:p>
            <w:r/>
            <w:r>
              <w:rPr>
                <w:rFonts w:ascii="Calibri" w:hAnsi="Calibri"/>
                <w:b w:val="0"/>
                <w:color w:val="0F172A"/>
                <w:sz w:val="19"/>
              </w:rPr>
              <w:t>src/data/payerData.js</w:t>
            </w:r>
          </w:p>
        </w:tc>
        <w:tc>
          <w:tcPr>
            <w:tcW w:type="dxa" w:w="2880"/>
          </w:tcPr>
          <w:p>
            <w:r/>
            <w:r>
              <w:rPr>
                <w:rFonts w:ascii="Calibri" w:hAnsi="Calibri"/>
                <w:b w:val="0"/>
                <w:color w:val="0F172A"/>
                <w:sz w:val="19"/>
              </w:rPr>
              <w:t>DATA_ARCHITECTURE_LAYERS</w:t>
            </w:r>
          </w:p>
        </w:tc>
      </w:tr>
    </w:tbl>
    <w:p>
      <w:pPr>
        <w:spacing w:after="80"/>
      </w:pPr>
    </w:p>
    <w:p>
      <w:pPr>
        <w:spacing w:after="160"/>
      </w:pPr>
      <w:r>
        <w:rPr>
          <w:rFonts w:ascii="Calibri" w:hAnsi="Calibri"/>
          <w:i w:val="0"/>
          <w:color w:val="0F172A"/>
          <w:sz w:val="20"/>
        </w:rPr>
        <w:t>These files are attached alongside this document as the requested working files. They are the exact, unmodified source of the deployed application at https://payer-lens-ai.vercel.app/ (frontend) and https://payerlens-ai-backend.onrender.com/ (backend).</w:t>
      </w:r>
    </w:p>
    <w:p>
      <w:pPr>
        <w:keepNext/>
        <w:spacing w:before="360" w:after="120"/>
        <w:pBdr>
          <w:bottom w:val="single" w:sz="6" w:space="4" w:color="E2E8F0"/>
        </w:pBdr>
      </w:pPr>
      <w:r>
        <w:rPr>
          <w:rFonts w:ascii="Calibri" w:hAnsi="Calibri"/>
          <w:b/>
          <w:color w:val="00205B"/>
          <w:sz w:val="34"/>
        </w:rPr>
        <w:t>9. Limitations</w:t>
      </w:r>
    </w:p>
    <w:p>
      <w:pPr>
        <w:pStyle w:val="ListBullet"/>
        <w:spacing w:after="100"/>
      </w:pPr>
      <w:r>
        <w:rPr>
          <w:rFonts w:ascii="Calibri" w:hAnsi="Calibri"/>
          <w:color w:val="0F172A"/>
          <w:sz w:val="21"/>
        </w:rPr>
        <w:t>The rubric in Section 2 is an expert-calibrated scoring framework, not a mechanistic derivation from patient-level trial data (none exists yet for a hypothetical molecule).</w:t>
      </w:r>
    </w:p>
    <w:p>
      <w:pPr>
        <w:pStyle w:val="ListBullet"/>
        <w:spacing w:after="100"/>
      </w:pPr>
      <w:r>
        <w:rPr>
          <w:rFonts w:ascii="Calibri" w:hAnsi="Calibri"/>
          <w:color w:val="0F172A"/>
          <w:sz w:val="21"/>
        </w:rPr>
        <w:t>France's high ML accuracy (94.8%) is partly a structural property of its dataset (label and features both trace to the same ASMR grade) rather than pure generalisation strength — documented in Section 6.2.</w:t>
      </w:r>
    </w:p>
    <w:p>
      <w:pPr>
        <w:pStyle w:val="ListBullet"/>
        <w:spacing w:after="100"/>
      </w:pPr>
      <w:r>
        <w:rPr>
          <w:rFonts w:ascii="Calibri" w:hAnsi="Calibri"/>
          <w:color w:val="0F172A"/>
          <w:sz w:val="21"/>
        </w:rPr>
        <w:t>The companion-diagnostic effect is applied as a fixed expert penalty on top of the ML output, not as a learned interaction.</w:t>
      </w:r>
    </w:p>
    <w:p>
      <w:pPr>
        <w:pStyle w:val="ListBullet"/>
        <w:spacing w:after="100"/>
      </w:pPr>
      <w:r>
        <w:rPr>
          <w:rFonts w:ascii="Calibri" w:hAnsi="Calibri"/>
          <w:color w:val="0F172A"/>
          <w:sz w:val="21"/>
        </w:rPr>
        <w:t>The backend is hosted on a free tier that sleeps when idle; the first live request after inactivity can take up to ~60 seconds, during which the app correctly falls back to the local MCDM engine.</w:t>
      </w:r>
    </w:p>
    <w:p>
      <w:pPr>
        <w:spacing w:after="160"/>
        <w:jc w:val="center"/>
      </w:pPr>
      <w:r>
        <w:rPr>
          <w:rFonts w:ascii="Calibri" w:hAnsi="Calibri"/>
          <w:i/>
          <w:color w:val="94A3B8"/>
          <w:sz w:val="18"/>
        </w:rPr>
        <w:t>— End of document —</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0F17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