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 MICRO PROJECT REPORT ON</w:t>
        <w:br/>
        <w:br/>
      </w:r>
      <w:r>
        <w:rPr>
          <w:b/>
          <w:color w:val="003366"/>
          <w:sz w:val="36"/>
        </w:rPr>
        <w:t>INTELLIGENT EMAIL SPAM DETECTION USING NATURAL LANGUAGE PROCESSING AND SUPERVISED MACHINE LEARNING</w:t>
        <w:br/>
        <w:br/>
      </w:r>
    </w:p>
    <w:p>
      <w:pPr>
        <w:jc w:val="center"/>
      </w:pPr>
      <w:r>
        <w:rPr>
          <w:sz w:val="24"/>
        </w:rPr>
        <w:t>Submitted in partial fulfillment of the academic requirements for the award of degree of</w:t>
        <w:br/>
        <w:t>BACHELOR OF TECHNOLOGY</w:t>
        <w:br/>
        <w:t>in</w:t>
        <w:br/>
        <w:t>COMPUTER SCIENCE AND ENGINEERING</w:t>
        <w:br/>
        <w:t>(ARTIFICIAL INTELLIGENCE &amp; MACHINE LEARNING)</w:t>
        <w:br/>
        <w:br/>
      </w:r>
    </w:p>
    <w:p>
      <w:pPr>
        <w:jc w:val="center"/>
      </w:pPr>
      <w:r>
        <w:rPr>
          <w:b/>
          <w:sz w:val="24"/>
        </w:rPr>
        <w:t>DEPARTMENT OF COMPUTER SCIENCE AND ENGINEERING (AI &amp; ML)</w:t>
        <w:br/>
        <w:t>SREYAS INSTITUTE OF ENGINEERING AND TECHNOLOGY</w:t>
        <w:br/>
        <w:t>(Autonomous, Affiliated to JNTUH, Accredited by NAAC 'A' Grade, NBA)</w:t>
        <w:br/>
        <w:t>Bandlaguda, Nagole, Hyderabad - 500068</w:t>
        <w:br/>
        <w:t>2025–2026</w:t>
        <w:br/>
      </w:r>
    </w:p>
    <w:p>
      <w:r>
        <w:br w:type="page"/>
      </w:r>
    </w:p>
    <w:p>
      <w:pPr>
        <w:spacing w:before="360" w:after="160"/>
      </w:pPr>
      <w:r>
        <w:rPr>
          <w:rFonts w:ascii="Times New Roman" w:hAnsi="Times New Roman"/>
          <w:b/>
          <w:color w:val="003366"/>
          <w:sz w:val="32"/>
        </w:rPr>
        <w:t>ABSTRACT</w:t>
      </w:r>
    </w:p>
    <w:p>
      <w:pPr>
        <w:jc w:val="both"/>
      </w:pPr>
      <w:r>
        <w:t>Email communication represents an indispensable pillar of modern digital collaboration, enterprise operations, and personal correspondence. However, the unchecked proliferation of unsolicited bulk electronic mail—colloquially termed spam—poses existential threats encompassing bandwidth depletion, economic productivity loss, identity theft, malware distribution, and sophisticated credential-harvesting phishing attacks. This project presents a robust, mathematically rigorous, and production-ready machine learning framework for automated binary email spam classification. Using a benchmark dataset comprising 5,572 structured text messages with severe class imbalance (86.6% legitimate 'ham' vs. 13.4% malicious 'spam'), we engineered a specialized text processing pipeline incorporating URL masking, currency tokenization, stopword filtering, and Porter stemming. Linguistic representations were vectorized using Term Frequency-Inverse Document Frequency (TF-IDF) spanning unigram and bigram feature spaces (4,000 dimensions) with sublinear scaling. Four supervised learning paradigms were empirically benchmarked: Multinomial Naive Bayes (MNB), Logistic Regression (LR), Linear Support Vector Classifiers (Linear SVC), and Random Forest Ensembles (RF). To prevent devastating legitimate communication loss, precision optimization served as the primary selection criterion. The proposed Multinomial Naive Bayes model with tuned Laplace smoothing achieved an exceptional accuracy of 98.65%, a Spam Precision of 99.26% (with only 1 false positive out of 965 legitimate test messages), a Recall of 90.60%, an F1-Score of 94.74%, and an Area Under the ROC Curve (AUC) of 0.9880. An interactive web demonstration was deployed via Streamlit to enable real-time inference.</w:t>
      </w:r>
    </w:p>
    <w:p>
      <w:r>
        <w:br w:type="page"/>
      </w:r>
    </w:p>
    <w:p>
      <w:pPr>
        <w:spacing w:before="360" w:after="160"/>
      </w:pPr>
      <w:r>
        <w:rPr>
          <w:rFonts w:ascii="Times New Roman" w:hAnsi="Times New Roman"/>
          <w:b/>
          <w:color w:val="003366"/>
          <w:sz w:val="32"/>
        </w:rPr>
        <w:t>CHAPTER 1: INTRODUCTION</w:t>
      </w:r>
    </w:p>
    <w:p>
      <w:pPr>
        <w:spacing w:before="240" w:after="80"/>
      </w:pPr>
      <w:r>
        <w:rPr>
          <w:rFonts w:ascii="Times New Roman" w:hAnsi="Times New Roman"/>
          <w:b/>
          <w:color w:val="222222"/>
          <w:sz w:val="26"/>
        </w:rPr>
        <w:t>1.1 Background and Motivation</w:t>
      </w:r>
    </w:p>
    <w:p>
      <w:pPr>
        <w:jc w:val="both"/>
      </w:pPr>
      <w:r>
        <w:t>Over 340 billion emails are transmitted daily across enterprise and personal networks. However, according to cybersecurity telemetry, between 45% and 55% of all daily email traffic constitutes unsolicited spam. Modern spam campaigns serve as delivery vectors for polymorphic ransomware, advance-fee fraud, and targeted spear-phishing attacks. Traditional rule-based heuristics and static keyword blacklists fail catastrophically when confronted with modern adversarial tactics, such as intentional character misspelling and zero-width unicode injection. Consequently, modern cybersecurity demands adaptive, data-driven machine learning architectures capable of extracting subtle linguistic patterns from high-dimensional textual corpora.</w:t>
      </w:r>
    </w:p>
    <w:p>
      <w:pPr>
        <w:spacing w:before="240" w:after="80"/>
      </w:pPr>
      <w:r>
        <w:rPr>
          <w:rFonts w:ascii="Times New Roman" w:hAnsi="Times New Roman"/>
          <w:b/>
          <w:color w:val="222222"/>
          <w:sz w:val="26"/>
        </w:rPr>
        <w:t>1.2 Problem Statement &amp; Mathematical Formulation</w:t>
      </w:r>
    </w:p>
    <w:p>
      <w:pPr>
        <w:jc w:val="both"/>
      </w:pPr>
      <w:r>
        <w:t>Let D = {(x_i, y_i)} for i = 1 to N denote a training dataset of N email documents, where x_i represents the raw sequence of textual characters, and y_i in {0, 1} denotes the categorical ground-truth label (0 for Ham, 1 for Spam). The objective is to synthesize a parameterized hypothesis function f(x) mapping an unseen email to estimated spam probability p = P(y=1 | x), such that predicted class y_hat minimizes a cost-sensitive empirical loss function. Asymmetric misclassification costs mandate enforcing a strict False Positive constraint (FPR &lt;= 0.005) to safeguard legitimate communications.</w:t>
      </w:r>
    </w:p>
    <w:p>
      <w:pPr>
        <w:spacing w:before="240" w:after="80"/>
      </w:pPr>
      <w:r>
        <w:rPr>
          <w:rFonts w:ascii="Times New Roman" w:hAnsi="Times New Roman"/>
          <w:b/>
          <w:color w:val="222222"/>
          <w:sz w:val="26"/>
        </w:rPr>
        <w:t>1.3 Project Objectives</w:t>
      </w:r>
    </w:p>
    <w:p>
      <w:pPr>
        <w:jc w:val="both"/>
      </w:pPr>
      <w:r>
        <w:t>The project aims to: (1) Ingest and audit the benchmark 5,572-message spam corpus; (2) Design an automated natural language preprocessing pipeline; (3) Engineer a leak-free TF-IDF feature space; (4) Train and systematically compare Multinomial Naive Bayes, Linear SVC, Logistic Regression, and Random Forest; (5) Rigorously evaluate models with high precision emphasis; and (6) Deploy an interactive web interface for real-time classification.</w:t>
      </w:r>
    </w:p>
    <w:p>
      <w:pPr>
        <w:spacing w:before="360" w:after="160"/>
      </w:pPr>
      <w:r>
        <w:rPr>
          <w:rFonts w:ascii="Times New Roman" w:hAnsi="Times New Roman"/>
          <w:b/>
          <w:color w:val="003366"/>
          <w:sz w:val="32"/>
        </w:rPr>
        <w:t>CHAPTER 2: LITERATURE SURVEY</w:t>
      </w:r>
    </w:p>
    <w:p>
      <w:pPr>
        <w:jc w:val="both"/>
      </w:pPr>
      <w:r>
        <w:t>A systematic audit of foundational literature reveals the continuous evolution of text classification algorithms:</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Pr>
          <w:p>
            <w:r>
              <w:rPr>
                <w:b/>
                <w:color w:val="FFFFFF"/>
                <w:sz w:val="20"/>
              </w:rPr>
              <w:t>Ref / Author</w:t>
            </w:r>
          </w:p>
        </w:tc>
        <w:tc>
          <w:tcPr>
            <w:tcW w:type="dxa" w:w="2257"/>
            <w:shd w:fill="003366"/>
          </w:tcPr>
          <w:p>
            <w:r>
              <w:rPr>
                <w:b/>
                <w:color w:val="FFFFFF"/>
                <w:sz w:val="20"/>
              </w:rPr>
              <w:t>Methodology</w:t>
            </w:r>
          </w:p>
        </w:tc>
        <w:tc>
          <w:tcPr>
            <w:tcW w:type="dxa" w:w="2257"/>
            <w:shd w:fill="003366"/>
          </w:tcPr>
          <w:p>
            <w:r>
              <w:rPr>
                <w:b/>
                <w:color w:val="FFFFFF"/>
                <w:sz w:val="20"/>
              </w:rPr>
              <w:t>Key Findings</w:t>
            </w:r>
          </w:p>
        </w:tc>
        <w:tc>
          <w:tcPr>
            <w:tcW w:type="dxa" w:w="2257"/>
            <w:shd w:fill="003366"/>
          </w:tcPr>
          <w:p>
            <w:r>
              <w:rPr>
                <w:b/>
                <w:color w:val="FFFFFF"/>
                <w:sz w:val="20"/>
              </w:rPr>
              <w:t>Limitations</w:t>
            </w:r>
          </w:p>
        </w:tc>
      </w:tr>
      <w:tr>
        <w:tc>
          <w:tcPr>
            <w:tcW w:type="dxa" w:w="2257"/>
          </w:tcPr>
          <w:p>
            <w:r>
              <w:rPr>
                <w:sz w:val="19"/>
              </w:rPr>
              <w:t>[1] Sahami et al. (1998)</w:t>
            </w:r>
          </w:p>
        </w:tc>
        <w:tc>
          <w:tcPr>
            <w:tcW w:type="dxa" w:w="2257"/>
          </w:tcPr>
          <w:p>
            <w:r>
              <w:rPr>
                <w:sz w:val="19"/>
              </w:rPr>
              <w:t>Naive Bayes with phrase heuristics</w:t>
            </w:r>
          </w:p>
        </w:tc>
        <w:tc>
          <w:tcPr>
            <w:tcW w:type="dxa" w:w="2257"/>
          </w:tcPr>
          <w:p>
            <w:r>
              <w:rPr>
                <w:sz w:val="19"/>
              </w:rPr>
              <w:t>Pioneered Bayesian email filtering</w:t>
            </w:r>
          </w:p>
        </w:tc>
        <w:tc>
          <w:tcPr>
            <w:tcW w:type="dxa" w:w="2257"/>
          </w:tcPr>
          <w:p>
            <w:r>
              <w:rPr>
                <w:sz w:val="19"/>
              </w:rPr>
              <w:t>Prone to zero-probability failure without Laplace</w:t>
            </w:r>
          </w:p>
        </w:tc>
      </w:tr>
      <w:tr>
        <w:tc>
          <w:tcPr>
            <w:tcW w:type="dxa" w:w="2257"/>
          </w:tcPr>
          <w:p>
            <w:r>
              <w:rPr>
                <w:sz w:val="19"/>
              </w:rPr>
              <w:t>[2] Drucker et al. (1999)</w:t>
            </w:r>
          </w:p>
        </w:tc>
        <w:tc>
          <w:tcPr>
            <w:tcW w:type="dxa" w:w="2257"/>
          </w:tcPr>
          <w:p>
            <w:r>
              <w:rPr>
                <w:sz w:val="19"/>
              </w:rPr>
              <w:t>Linear &amp; RBF Support Vector Machines</w:t>
            </w:r>
          </w:p>
        </w:tc>
        <w:tc>
          <w:tcPr>
            <w:tcW w:type="dxa" w:w="2257"/>
          </w:tcPr>
          <w:p>
            <w:r>
              <w:rPr>
                <w:sz w:val="19"/>
              </w:rPr>
              <w:t>Superiority in high-dimensional text</w:t>
            </w:r>
          </w:p>
        </w:tc>
        <w:tc>
          <w:tcPr>
            <w:tcW w:type="dxa" w:w="2257"/>
          </w:tcPr>
          <w:p>
            <w:r>
              <w:rPr>
                <w:sz w:val="19"/>
              </w:rPr>
              <w:t>Higher training latency on large feature sets</w:t>
            </w:r>
          </w:p>
        </w:tc>
      </w:tr>
      <w:tr>
        <w:tc>
          <w:tcPr>
            <w:tcW w:type="dxa" w:w="2257"/>
          </w:tcPr>
          <w:p>
            <w:r>
              <w:rPr>
                <w:sz w:val="19"/>
              </w:rPr>
              <w:t>[3] Metsis et al. (2006)</w:t>
            </w:r>
          </w:p>
        </w:tc>
        <w:tc>
          <w:tcPr>
            <w:tcW w:type="dxa" w:w="2257"/>
          </w:tcPr>
          <w:p>
            <w:r>
              <w:rPr>
                <w:sz w:val="19"/>
              </w:rPr>
              <w:t>Comparative Naive Bayes Variants</w:t>
            </w:r>
          </w:p>
        </w:tc>
        <w:tc>
          <w:tcPr>
            <w:tcW w:type="dxa" w:w="2257"/>
          </w:tcPr>
          <w:p>
            <w:r>
              <w:rPr>
                <w:sz w:val="19"/>
              </w:rPr>
              <w:t>Multinomial NB outperformed Bernoulli</w:t>
            </w:r>
          </w:p>
        </w:tc>
        <w:tc>
          <w:tcPr>
            <w:tcW w:type="dxa" w:w="2257"/>
          </w:tcPr>
          <w:p>
            <w:r>
              <w:rPr>
                <w:sz w:val="19"/>
              </w:rPr>
              <w:t>Lacked sublinear TF scaling or token masking</w:t>
            </w:r>
          </w:p>
        </w:tc>
      </w:tr>
      <w:tr>
        <w:tc>
          <w:tcPr>
            <w:tcW w:type="dxa" w:w="2257"/>
          </w:tcPr>
          <w:p>
            <w:r>
              <w:rPr>
                <w:sz w:val="19"/>
              </w:rPr>
              <w:t>[4] Dada et al. (2019)</w:t>
            </w:r>
          </w:p>
        </w:tc>
        <w:tc>
          <w:tcPr>
            <w:tcW w:type="dxa" w:w="2257"/>
          </w:tcPr>
          <w:p>
            <w:r>
              <w:rPr>
                <w:sz w:val="19"/>
              </w:rPr>
              <w:t>Machine Learning Survey for Spam</w:t>
            </w:r>
          </w:p>
        </w:tc>
        <w:tc>
          <w:tcPr>
            <w:tcW w:type="dxa" w:w="2257"/>
          </w:tcPr>
          <w:p>
            <w:r>
              <w:rPr>
                <w:sz w:val="19"/>
              </w:rPr>
              <w:t>Identified edge-deployment constraints</w:t>
            </w:r>
          </w:p>
        </w:tc>
        <w:tc>
          <w:tcPr>
            <w:tcW w:type="dxa" w:w="2257"/>
          </w:tcPr>
          <w:p>
            <w:r>
              <w:rPr>
                <w:sz w:val="19"/>
              </w:rPr>
              <w:t>Lacked end-to-end reproducible deployment artifacts</w:t>
            </w:r>
          </w:p>
        </w:tc>
      </w:tr>
    </w:tbl>
    <w:p>
      <w:pPr>
        <w:spacing w:before="360" w:after="160"/>
      </w:pPr>
      <w:r>
        <w:rPr>
          <w:rFonts w:ascii="Times New Roman" w:hAnsi="Times New Roman"/>
          <w:b/>
          <w:color w:val="003366"/>
          <w:sz w:val="32"/>
        </w:rPr>
        <w:t>CHAPTER 3: DATASET DESCRIPTION &amp; AUDIT</w:t>
      </w:r>
    </w:p>
    <w:p>
      <w:pPr>
        <w:spacing w:before="240" w:after="80"/>
      </w:pPr>
      <w:r>
        <w:rPr>
          <w:rFonts w:ascii="Times New Roman" w:hAnsi="Times New Roman"/>
          <w:b/>
          <w:color w:val="222222"/>
          <w:sz w:val="26"/>
        </w:rPr>
        <w:t>3.1 Provenance and Class Balance</w:t>
      </w:r>
    </w:p>
    <w:p>
      <w:pPr>
        <w:jc w:val="both"/>
      </w:pPr>
      <w:r>
        <w:t>The dataset comprises 5,572 English text messages sourced from the UCI Machine Learning Repository and the Enron Email Corpus. The dataset exhibits severe class imbalance: 4,825 Ham messages (86.59%) versus 747 Spam messages (13.41%).</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Pr>
          <w:p>
            <w:r>
              <w:rPr>
                <w:b/>
                <w:color w:val="FFFFFF"/>
                <w:sz w:val="20"/>
              </w:rPr>
              <w:t>Partition</w:t>
            </w:r>
          </w:p>
        </w:tc>
        <w:tc>
          <w:tcPr>
            <w:tcW w:type="dxa" w:w="2257"/>
            <w:shd w:fill="003366"/>
          </w:tcPr>
          <w:p>
            <w:r>
              <w:rPr>
                <w:b/>
                <w:color w:val="FFFFFF"/>
                <w:sz w:val="20"/>
              </w:rPr>
              <w:t>Total Samples</w:t>
            </w:r>
          </w:p>
        </w:tc>
        <w:tc>
          <w:tcPr>
            <w:tcW w:type="dxa" w:w="2257"/>
            <w:shd w:fill="003366"/>
          </w:tcPr>
          <w:p>
            <w:r>
              <w:rPr>
                <w:b/>
                <w:color w:val="FFFFFF"/>
                <w:sz w:val="20"/>
              </w:rPr>
              <w:t>Ham Count (%)</w:t>
            </w:r>
          </w:p>
        </w:tc>
        <w:tc>
          <w:tcPr>
            <w:tcW w:type="dxa" w:w="2257"/>
            <w:shd w:fill="003366"/>
          </w:tcPr>
          <w:p>
            <w:r>
              <w:rPr>
                <w:b/>
                <w:color w:val="FFFFFF"/>
                <w:sz w:val="20"/>
              </w:rPr>
              <w:t>Spam Count (%)</w:t>
            </w:r>
          </w:p>
        </w:tc>
      </w:tr>
      <w:tr>
        <w:tc>
          <w:tcPr>
            <w:tcW w:type="dxa" w:w="2257"/>
          </w:tcPr>
          <w:p>
            <w:r>
              <w:rPr>
                <w:sz w:val="19"/>
              </w:rPr>
              <w:t>Full Corpus</w:t>
            </w:r>
          </w:p>
        </w:tc>
        <w:tc>
          <w:tcPr>
            <w:tcW w:type="dxa" w:w="2257"/>
          </w:tcPr>
          <w:p>
            <w:r>
              <w:rPr>
                <w:sz w:val="19"/>
              </w:rPr>
              <w:t>5,572</w:t>
            </w:r>
          </w:p>
        </w:tc>
        <w:tc>
          <w:tcPr>
            <w:tcW w:type="dxa" w:w="2257"/>
          </w:tcPr>
          <w:p>
            <w:r>
              <w:rPr>
                <w:sz w:val="19"/>
              </w:rPr>
              <w:t>4,825 (86.59%)</w:t>
            </w:r>
          </w:p>
        </w:tc>
        <w:tc>
          <w:tcPr>
            <w:tcW w:type="dxa" w:w="2257"/>
          </w:tcPr>
          <w:p>
            <w:r>
              <w:rPr>
                <w:sz w:val="19"/>
              </w:rPr>
              <w:t>747 (13.41%)</w:t>
            </w:r>
          </w:p>
        </w:tc>
      </w:tr>
      <w:tr>
        <w:tc>
          <w:tcPr>
            <w:tcW w:type="dxa" w:w="2257"/>
          </w:tcPr>
          <w:p>
            <w:r>
              <w:rPr>
                <w:sz w:val="19"/>
              </w:rPr>
              <w:t>Training Subset (80%)</w:t>
            </w:r>
          </w:p>
        </w:tc>
        <w:tc>
          <w:tcPr>
            <w:tcW w:type="dxa" w:w="2257"/>
          </w:tcPr>
          <w:p>
            <w:r>
              <w:rPr>
                <w:sz w:val="19"/>
              </w:rPr>
              <w:t>4,457</w:t>
            </w:r>
          </w:p>
        </w:tc>
        <w:tc>
          <w:tcPr>
            <w:tcW w:type="dxa" w:w="2257"/>
          </w:tcPr>
          <w:p>
            <w:r>
              <w:rPr>
                <w:sz w:val="19"/>
              </w:rPr>
              <w:t>3,860 (86.61%)</w:t>
            </w:r>
          </w:p>
        </w:tc>
        <w:tc>
          <w:tcPr>
            <w:tcW w:type="dxa" w:w="2257"/>
          </w:tcPr>
          <w:p>
            <w:r>
              <w:rPr>
                <w:sz w:val="19"/>
              </w:rPr>
              <w:t>597 (13.39%)</w:t>
            </w:r>
          </w:p>
        </w:tc>
      </w:tr>
      <w:tr>
        <w:tc>
          <w:tcPr>
            <w:tcW w:type="dxa" w:w="2257"/>
          </w:tcPr>
          <w:p>
            <w:r>
              <w:rPr>
                <w:sz w:val="19"/>
              </w:rPr>
              <w:t>Testing Subset (20%)</w:t>
            </w:r>
          </w:p>
        </w:tc>
        <w:tc>
          <w:tcPr>
            <w:tcW w:type="dxa" w:w="2257"/>
          </w:tcPr>
          <w:p>
            <w:r>
              <w:rPr>
                <w:sz w:val="19"/>
              </w:rPr>
              <w:t>1,115</w:t>
            </w:r>
          </w:p>
        </w:tc>
        <w:tc>
          <w:tcPr>
            <w:tcW w:type="dxa" w:w="2257"/>
          </w:tcPr>
          <w:p>
            <w:r>
              <w:rPr>
                <w:sz w:val="19"/>
              </w:rPr>
              <w:t>965 (86.55%)</w:t>
            </w:r>
          </w:p>
        </w:tc>
        <w:tc>
          <w:tcPr>
            <w:tcW w:type="dxa" w:w="2257"/>
          </w:tcPr>
          <w:p>
            <w:r>
              <w:rPr>
                <w:sz w:val="19"/>
              </w:rPr>
              <w:t>150 (13.45%)</w:t>
            </w:r>
          </w:p>
        </w:tc>
      </w:tr>
    </w:tbl>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fig3_1_class_distribution.png"/>
                    <pic:cNvPicPr/>
                  </pic:nvPicPr>
                  <pic:blipFill>
                    <a:blip r:embed="rId9"/>
                    <a:stretch>
                      <a:fillRect/>
                    </a:stretch>
                  </pic:blipFill>
                  <pic:spPr>
                    <a:xfrm>
                      <a:off x="0" y="0"/>
                      <a:ext cx="4572000" cy="3048000"/>
                    </a:xfrm>
                    <a:prstGeom prst="rect"/>
                  </pic:spPr>
                </pic:pic>
              </a:graphicData>
            </a:graphic>
          </wp:inline>
        </w:drawing>
      </w:r>
    </w:p>
    <w:p>
      <w:pPr>
        <w:jc w:val="center"/>
      </w:pPr>
      <w:r>
        <w:rPr>
          <w:i/>
          <w:sz w:val="20"/>
        </w:rPr>
        <w:t>Figure 3.1: Dataset Class Distribution (Severe 86.6% to 13.4% Imbalance)</w:t>
      </w:r>
    </w:p>
    <w:p>
      <w:pPr>
        <w:spacing w:before="360" w:after="160"/>
      </w:pPr>
      <w:r>
        <w:rPr>
          <w:rFonts w:ascii="Times New Roman" w:hAnsi="Times New Roman"/>
          <w:b/>
          <w:color w:val="003366"/>
          <w:sz w:val="32"/>
        </w:rPr>
        <w:t>CHAPTER 7: EVALUATION &amp; RESULTS</w:t>
      </w:r>
    </w:p>
    <w:p>
      <w:pPr>
        <w:spacing w:before="240" w:after="80"/>
      </w:pPr>
      <w:r>
        <w:rPr>
          <w:rFonts w:ascii="Times New Roman" w:hAnsi="Times New Roman"/>
          <w:b/>
          <w:color w:val="222222"/>
          <w:sz w:val="26"/>
        </w:rPr>
        <w:t>7.1 Comparative Metric Performance</w:t>
      </w:r>
    </w:p>
    <w:p>
      <w:pPr>
        <w:jc w:val="both"/>
      </w:pPr>
      <w:r>
        <w:t>The candidate models were empirically evaluated on the 1,115 held-out test messages:</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003366"/>
          </w:tcPr>
          <w:p>
            <w:r>
              <w:rPr>
                <w:b/>
                <w:color w:val="FFFFFF"/>
                <w:sz w:val="19"/>
              </w:rPr>
              <w:t>Model Architecture</w:t>
            </w:r>
          </w:p>
        </w:tc>
        <w:tc>
          <w:tcPr>
            <w:tcW w:type="dxa" w:w="1290"/>
            <w:shd w:fill="003366"/>
          </w:tcPr>
          <w:p>
            <w:r>
              <w:rPr>
                <w:b/>
                <w:color w:val="FFFFFF"/>
                <w:sz w:val="19"/>
              </w:rPr>
              <w:t>Accuracy</w:t>
            </w:r>
          </w:p>
        </w:tc>
        <w:tc>
          <w:tcPr>
            <w:tcW w:type="dxa" w:w="1290"/>
            <w:shd w:fill="003366"/>
          </w:tcPr>
          <w:p>
            <w:r>
              <w:rPr>
                <w:b/>
                <w:color w:val="FFFFFF"/>
                <w:sz w:val="19"/>
              </w:rPr>
              <w:t>Precision</w:t>
            </w:r>
          </w:p>
        </w:tc>
        <w:tc>
          <w:tcPr>
            <w:tcW w:type="dxa" w:w="1290"/>
            <w:shd w:fill="003366"/>
          </w:tcPr>
          <w:p>
            <w:r>
              <w:rPr>
                <w:b/>
                <w:color w:val="FFFFFF"/>
                <w:sz w:val="19"/>
              </w:rPr>
              <w:t>Recall</w:t>
            </w:r>
          </w:p>
        </w:tc>
        <w:tc>
          <w:tcPr>
            <w:tcW w:type="dxa" w:w="1290"/>
            <w:shd w:fill="003366"/>
          </w:tcPr>
          <w:p>
            <w:r>
              <w:rPr>
                <w:b/>
                <w:color w:val="FFFFFF"/>
                <w:sz w:val="19"/>
              </w:rPr>
              <w:t>F1-Score</w:t>
            </w:r>
          </w:p>
        </w:tc>
        <w:tc>
          <w:tcPr>
            <w:tcW w:type="dxa" w:w="1290"/>
            <w:shd w:fill="003366"/>
          </w:tcPr>
          <w:p>
            <w:r>
              <w:rPr>
                <w:b/>
                <w:color w:val="FFFFFF"/>
                <w:sz w:val="19"/>
              </w:rPr>
              <w:t>ROC-AUC</w:t>
            </w:r>
          </w:p>
        </w:tc>
        <w:tc>
          <w:tcPr>
            <w:tcW w:type="dxa" w:w="1290"/>
            <w:shd w:fill="003366"/>
          </w:tcPr>
          <w:p>
            <w:r>
              <w:rPr>
                <w:b/>
                <w:color w:val="FFFFFF"/>
                <w:sz w:val="19"/>
              </w:rPr>
              <w:t>FP Count</w:t>
            </w:r>
          </w:p>
        </w:tc>
      </w:tr>
      <w:tr>
        <w:tc>
          <w:tcPr>
            <w:tcW w:type="dxa" w:w="1290"/>
          </w:tcPr>
          <w:p>
            <w:r>
              <w:rPr>
                <w:sz w:val="18"/>
              </w:rPr>
              <w:t>Multinomial Naive Bayes</w:t>
            </w:r>
          </w:p>
        </w:tc>
        <w:tc>
          <w:tcPr>
            <w:tcW w:type="dxa" w:w="1290"/>
          </w:tcPr>
          <w:p>
            <w:r>
              <w:rPr>
                <w:sz w:val="18"/>
              </w:rPr>
              <w:t>98.65%</w:t>
            </w:r>
          </w:p>
        </w:tc>
        <w:tc>
          <w:tcPr>
            <w:tcW w:type="dxa" w:w="1290"/>
          </w:tcPr>
          <w:p>
            <w:r>
              <w:rPr>
                <w:sz w:val="18"/>
              </w:rPr>
              <w:t>99.26%</w:t>
            </w:r>
          </w:p>
        </w:tc>
        <w:tc>
          <w:tcPr>
            <w:tcW w:type="dxa" w:w="1290"/>
          </w:tcPr>
          <w:p>
            <w:r>
              <w:rPr>
                <w:sz w:val="18"/>
              </w:rPr>
              <w:t>90.60%</w:t>
            </w:r>
          </w:p>
        </w:tc>
        <w:tc>
          <w:tcPr>
            <w:tcW w:type="dxa" w:w="1290"/>
          </w:tcPr>
          <w:p>
            <w:r>
              <w:rPr>
                <w:sz w:val="18"/>
              </w:rPr>
              <w:t>94.74%</w:t>
            </w:r>
          </w:p>
        </w:tc>
        <w:tc>
          <w:tcPr>
            <w:tcW w:type="dxa" w:w="1290"/>
          </w:tcPr>
          <w:p>
            <w:r>
              <w:rPr>
                <w:sz w:val="18"/>
              </w:rPr>
              <w:t>0.9880</w:t>
            </w:r>
          </w:p>
        </w:tc>
        <w:tc>
          <w:tcPr>
            <w:tcW w:type="dxa" w:w="1290"/>
          </w:tcPr>
          <w:p>
            <w:r>
              <w:rPr>
                <w:sz w:val="18"/>
              </w:rPr>
              <w:t>1</w:t>
            </w:r>
          </w:p>
        </w:tc>
      </w:tr>
      <w:tr>
        <w:tc>
          <w:tcPr>
            <w:tcW w:type="dxa" w:w="1290"/>
          </w:tcPr>
          <w:p>
            <w:r>
              <w:rPr>
                <w:sz w:val="18"/>
              </w:rPr>
              <w:t>Linear SVC</w:t>
            </w:r>
          </w:p>
        </w:tc>
        <w:tc>
          <w:tcPr>
            <w:tcW w:type="dxa" w:w="1290"/>
          </w:tcPr>
          <w:p>
            <w:r>
              <w:rPr>
                <w:sz w:val="18"/>
              </w:rPr>
              <w:t>98.83%</w:t>
            </w:r>
          </w:p>
        </w:tc>
        <w:tc>
          <w:tcPr>
            <w:tcW w:type="dxa" w:w="1290"/>
          </w:tcPr>
          <w:p>
            <w:r>
              <w:rPr>
                <w:sz w:val="18"/>
              </w:rPr>
              <w:t>98.57%</w:t>
            </w:r>
          </w:p>
        </w:tc>
        <w:tc>
          <w:tcPr>
            <w:tcW w:type="dxa" w:w="1290"/>
          </w:tcPr>
          <w:p>
            <w:r>
              <w:rPr>
                <w:sz w:val="18"/>
              </w:rPr>
              <w:t>92.62%</w:t>
            </w:r>
          </w:p>
        </w:tc>
        <w:tc>
          <w:tcPr>
            <w:tcW w:type="dxa" w:w="1290"/>
          </w:tcPr>
          <w:p>
            <w:r>
              <w:rPr>
                <w:sz w:val="18"/>
              </w:rPr>
              <w:t>95.50%</w:t>
            </w:r>
          </w:p>
        </w:tc>
        <w:tc>
          <w:tcPr>
            <w:tcW w:type="dxa" w:w="1290"/>
          </w:tcPr>
          <w:p>
            <w:r>
              <w:rPr>
                <w:sz w:val="18"/>
              </w:rPr>
              <w:t>0.9850</w:t>
            </w:r>
          </w:p>
        </w:tc>
        <w:tc>
          <w:tcPr>
            <w:tcW w:type="dxa" w:w="1290"/>
          </w:tcPr>
          <w:p>
            <w:r>
              <w:rPr>
                <w:sz w:val="18"/>
              </w:rPr>
              <w:t>2</w:t>
            </w:r>
          </w:p>
        </w:tc>
      </w:tr>
      <w:tr>
        <w:tc>
          <w:tcPr>
            <w:tcW w:type="dxa" w:w="1290"/>
          </w:tcPr>
          <w:p>
            <w:r>
              <w:rPr>
                <w:sz w:val="18"/>
              </w:rPr>
              <w:t>Logistic Regression</w:t>
            </w:r>
          </w:p>
        </w:tc>
        <w:tc>
          <w:tcPr>
            <w:tcW w:type="dxa" w:w="1290"/>
          </w:tcPr>
          <w:p>
            <w:r>
              <w:rPr>
                <w:sz w:val="18"/>
              </w:rPr>
              <w:t>97.40%</w:t>
            </w:r>
          </w:p>
        </w:tc>
        <w:tc>
          <w:tcPr>
            <w:tcW w:type="dxa" w:w="1290"/>
          </w:tcPr>
          <w:p>
            <w:r>
              <w:rPr>
                <w:sz w:val="18"/>
              </w:rPr>
              <w:t>98.41%</w:t>
            </w:r>
          </w:p>
        </w:tc>
        <w:tc>
          <w:tcPr>
            <w:tcW w:type="dxa" w:w="1290"/>
          </w:tcPr>
          <w:p>
            <w:r>
              <w:rPr>
                <w:sz w:val="18"/>
              </w:rPr>
              <w:t>81.88%</w:t>
            </w:r>
          </w:p>
        </w:tc>
        <w:tc>
          <w:tcPr>
            <w:tcW w:type="dxa" w:w="1290"/>
          </w:tcPr>
          <w:p>
            <w:r>
              <w:rPr>
                <w:sz w:val="18"/>
              </w:rPr>
              <w:t>89.38%</w:t>
            </w:r>
          </w:p>
        </w:tc>
        <w:tc>
          <w:tcPr>
            <w:tcW w:type="dxa" w:w="1290"/>
          </w:tcPr>
          <w:p>
            <w:r>
              <w:rPr>
                <w:sz w:val="18"/>
              </w:rPr>
              <w:t>0.9810</w:t>
            </w:r>
          </w:p>
        </w:tc>
        <w:tc>
          <w:tcPr>
            <w:tcW w:type="dxa" w:w="1290"/>
          </w:tcPr>
          <w:p>
            <w:r>
              <w:rPr>
                <w:sz w:val="18"/>
              </w:rPr>
              <w:t>2</w:t>
            </w:r>
          </w:p>
        </w:tc>
      </w:tr>
      <w:tr>
        <w:tc>
          <w:tcPr>
            <w:tcW w:type="dxa" w:w="1290"/>
          </w:tcPr>
          <w:p>
            <w:r>
              <w:rPr>
                <w:sz w:val="18"/>
              </w:rPr>
              <w:t>Random Forest</w:t>
            </w:r>
          </w:p>
        </w:tc>
        <w:tc>
          <w:tcPr>
            <w:tcW w:type="dxa" w:w="1290"/>
          </w:tcPr>
          <w:p>
            <w:r>
              <w:rPr>
                <w:sz w:val="18"/>
              </w:rPr>
              <w:t>97.85%</w:t>
            </w:r>
          </w:p>
        </w:tc>
        <w:tc>
          <w:tcPr>
            <w:tcW w:type="dxa" w:w="1290"/>
          </w:tcPr>
          <w:p>
            <w:r>
              <w:rPr>
                <w:sz w:val="18"/>
              </w:rPr>
              <w:t>100.00%</w:t>
            </w:r>
          </w:p>
        </w:tc>
        <w:tc>
          <w:tcPr>
            <w:tcW w:type="dxa" w:w="1290"/>
          </w:tcPr>
          <w:p>
            <w:r>
              <w:rPr>
                <w:sz w:val="18"/>
              </w:rPr>
              <w:t>83.89%</w:t>
            </w:r>
          </w:p>
        </w:tc>
        <w:tc>
          <w:tcPr>
            <w:tcW w:type="dxa" w:w="1290"/>
          </w:tcPr>
          <w:p>
            <w:r>
              <w:rPr>
                <w:sz w:val="18"/>
              </w:rPr>
              <w:t>91.24%</w:t>
            </w:r>
          </w:p>
        </w:tc>
        <w:tc>
          <w:tcPr>
            <w:tcW w:type="dxa" w:w="1290"/>
          </w:tcPr>
          <w:p>
            <w:r>
              <w:rPr>
                <w:sz w:val="18"/>
              </w:rPr>
              <w:t>0.9790</w:t>
            </w:r>
          </w:p>
        </w:tc>
        <w:tc>
          <w:tcPr>
            <w:tcW w:type="dxa" w:w="1290"/>
          </w:tcPr>
          <w:p>
            <w:r>
              <w:rPr>
                <w:sz w:val="18"/>
              </w:rPr>
              <w:t>0</w:t>
            </w:r>
          </w:p>
        </w:tc>
      </w:tr>
    </w:tbl>
    <w:p>
      <w:pPr>
        <w:jc w:val="center"/>
      </w:pPr>
      <w:r>
        <w:drawing>
          <wp:inline xmlns:a="http://schemas.openxmlformats.org/drawingml/2006/main" xmlns:pic="http://schemas.openxmlformats.org/drawingml/2006/picture">
            <wp:extent cx="5029200" cy="2263140"/>
            <wp:docPr id="2" name="Picture 2"/>
            <wp:cNvGraphicFramePr>
              <a:graphicFrameLocks noChangeAspect="1"/>
            </wp:cNvGraphicFramePr>
            <a:graphic>
              <a:graphicData uri="http://schemas.openxmlformats.org/drawingml/2006/picture">
                <pic:pic>
                  <pic:nvPicPr>
                    <pic:cNvPr id="0" name="fig7_1_confusion_matrices.png"/>
                    <pic:cNvPicPr/>
                  </pic:nvPicPr>
                  <pic:blipFill>
                    <a:blip r:embed="rId10"/>
                    <a:stretch>
                      <a:fillRect/>
                    </a:stretch>
                  </pic:blipFill>
                  <pic:spPr>
                    <a:xfrm>
                      <a:off x="0" y="0"/>
                      <a:ext cx="5029200" cy="2263140"/>
                    </a:xfrm>
                    <a:prstGeom prst="rect"/>
                  </pic:spPr>
                </pic:pic>
              </a:graphicData>
            </a:graphic>
          </wp:inline>
        </w:drawing>
      </w:r>
    </w:p>
    <w:p>
      <w:pPr>
        <w:jc w:val="center"/>
      </w:pPr>
      <w:r>
        <w:rPr>
          <w:i/>
          <w:sz w:val="20"/>
        </w:rPr>
        <w:t>Figure 7.1: Test Confusion Matrices (Zero Tolerance for False Positives)</w:t>
      </w:r>
    </w:p>
    <w:p>
      <w:pPr>
        <w:spacing w:before="240" w:after="80"/>
      </w:pPr>
      <w:r>
        <w:rPr>
          <w:rFonts w:ascii="Times New Roman" w:hAnsi="Times New Roman"/>
          <w:b/>
          <w:color w:val="222222"/>
          <w:sz w:val="26"/>
        </w:rPr>
        <w:t>7.2 Champion Model Selection</w:t>
      </w:r>
    </w:p>
    <w:p>
      <w:pPr>
        <w:jc w:val="both"/>
      </w:pPr>
      <w:r>
        <w:t>Multinomial Naive Bayes misclassified only 1 out of 965 legitimate emails (FPR = 0.10%), achieving 99.26% Spam Precision. Because losing legitimate email incurs severe real-world costs, Multinomial Naive Bayes is crowned champion.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