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INVESTMENT COMMITTEE MEMORANDUM</w:t>
      </w:r>
    </w:p>
    <w:p>
      <w:pPr>
        <w:pBdr>
          <w:bottom w:val="single" w:color="1F3864" w:sz="12" w:space="4"/>
        </w:pBd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Project Osprey  |  Rolls-Royce Holdings plc (LSE: RR.)</w:t>
      </w:r>
    </w:p>
    <w:p>
      <w:pPr>
        <w:tabs>
          <w:tab w:val="left" w:pos="1200"/>
        </w:tabs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TO:</w:t>
      </w:r>
      <w:r>
        <w:rPr>
          <w:rFonts w:ascii="Arial" w:cs="Arial" w:eastAsia="Arial" w:hAnsi="Arial"/>
          <w:sz w:val="18"/>
          <w:szCs w:val="18"/>
        </w:rPr>
        <w:t xml:space="preserve">	Investment Committee</w:t>
      </w:r>
    </w:p>
    <w:p>
      <w:pPr>
        <w:tabs>
          <w:tab w:val="left" w:pos="1200"/>
        </w:tabs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FROM:</w:t>
      </w:r>
      <w:r>
        <w:rPr>
          <w:rFonts w:ascii="Arial" w:cs="Arial" w:eastAsia="Arial" w:hAnsi="Arial"/>
          <w:sz w:val="18"/>
          <w:szCs w:val="18"/>
        </w:rPr>
        <w:t xml:space="preserve">	M&amp;A Advisory — Senior Vice President</w:t>
      </w:r>
    </w:p>
    <w:p>
      <w:pPr>
        <w:tabs>
          <w:tab w:val="left" w:pos="1200"/>
        </w:tabs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DATE:</w:t>
      </w:r>
      <w:r>
        <w:rPr>
          <w:rFonts w:ascii="Arial" w:cs="Arial" w:eastAsia="Arial" w:hAnsi="Arial"/>
          <w:sz w:val="18"/>
          <w:szCs w:val="18"/>
        </w:rPr>
        <w:t xml:space="preserve">	23 May 2026</w:t>
      </w:r>
    </w:p>
    <w:p>
      <w:pPr>
        <w:tabs>
          <w:tab w:val="left" w:pos="1200"/>
        </w:tabs>
        <w:spacing w:after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RE:</w:t>
      </w:r>
      <w:r>
        <w:rPr>
          <w:rFonts w:ascii="Arial" w:cs="Arial" w:eastAsia="Arial" w:hAnsi="Arial"/>
          <w:sz w:val="18"/>
          <w:szCs w:val="18"/>
        </w:rPr>
        <w:t xml:space="preserve">	Valuation View, Buyback Floor Analysis &amp; 2028 Execution Risk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SITUATION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Rolls-Royce Holdings plc (LSE: RR.)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 Price (21-May-26)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1,208.20p  |  Market Cap c.£100bn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FY25 Underlying Op Profit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£3.46bn  |  17.3% margin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FY25 Free Cash Flow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£3.30bn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FY25 Net Cash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£1.90bn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2028 FCF Target (upgraded)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£5.0–5.3bn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Buyback Authorisation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£7–9bn over 2026–28  |  £2.5bn 2026 tranche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DCF Base Case (WACC 9.5%, g 2.25%)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Implied £8.98 / share  |  c.(26%) downside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HOLD with bias-to-trim into strength</w:t>
            </w:r>
          </w:p>
        </w:tc>
      </w:tr>
    </w:tbl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RECOMMENDATION</w:t>
      </w:r>
    </w:p>
    <w:p>
      <w:pPr>
        <w:spacing w:after="10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HOLD with a bias-to-trim.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RR. is no longer a turnaround story; it is a fully-priced compounder. The shares have re-rated from c.150p in early 2023 to 1,208p — an eight-fold move that captures both the FCF inflection and substantial multiple expansion. On a DCF basis (WACC 9.5%, g 2.25%) we derive an implied value of £8.98 per share against a market price of £12.08 — c.(26%) downside. The sensitivity matrix shows current price is only justified at WACC below 8.5% — i.e. the market is pricing this as an investment-grade utility, not a cyclical OEM with c.40% civil aerospace exposure.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ERGINBILGIC TURNAROUND — VERDICT</w:t>
      </w:r>
    </w:p>
    <w:p>
      <w:pPr>
        <w:spacing w:after="10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CEO has delivered an execution masterclass.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Underlying operating margin moved from 5.1% (2022) to 17.3% (2025); FCF went from negative working-capital-flattered numbers to a clean £3.3bn; net cash now sits at £1.9bn from net debt of £3.3bn three years ago. The capital allocation pivot — dividend reinstated in 2025 after a five-year hiatus, plus the £7–9bn buyback authorisation through 2028 — confirms management views the franchise as structurally rather than cyclically improved.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Where we differ from sell-side: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easy wins (pricing, cost-out, mix) are largely done. The next leg of margin expansion requires Civil LTSA flying-hours to deliver at upgraded EFH assumptions and Power Systems / Defence to grow above 8% — both of which embed supply chain assumptions that have not yet been stress-tested at full ramp.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DOES THE £7–9BN BUYBACK CREATE A HARD PRICE FLOOR?</w:t>
      </w:r>
    </w:p>
    <w:p>
      <w:pPr>
        <w:spacing w:after="10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Mechanically, no.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At a £100bn market cap, the full £8bn mid-point authorisation absorbs c.8% of float over three years — material but not large enough to set a hard floor on its own. The 2026 £2.5bn tranche equates to c.£200m / month of demand, against typical daily volumes of £150–250m on RR. — i.e. the buyback is one sub-day's volume in monthly terms.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What it does 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 signal a credible FCF yield floor. At 1,208p the FCF yield is c.3.3% on FY25 numbers and c.5.0–5.3% on the FY28 mid-point. Management has effectively told the market it is willing to buy below this yield curve. The practical floor therefore sits at the level where FY28 FCF yield exceeds ~5.5% — i.e. roughly 900–950p / share. This is the level where we would step back in size, not at current prints.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2028 FCF EXECUTION RISK — SUPPLY CHAIN CONSTRAINTS</w:t>
      </w:r>
    </w:p>
    <w:p>
      <w:pPr>
        <w:spacing w:after="10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The £5.0–5.3bn FCF target is achievable but not de-risked.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Three risks merit specific committee attention: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Civil LTSA cash conversion.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Higher EFH assumptions depend on Trent XWB and Trent 1000 utilisation tracking above pre-COVID baselines. Any softening in long-haul demand (LATAM, China outbound) directly compresses the FCF curve in 2027–28.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supply (turbine blades, castings).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aerospace supply base remains constrained on single-crystal castings and high-temperature alloys. Lead-time inflation is structural; this caps both ramp speed on new engine deliveries and on aftermarket shop visits — i.e. it constrains both sides of the cash equation.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Defence working capital.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 payment terms have lengthened across the UK industrial base. Even with a strong order book (SMR, AUKUS submarine reactor work), cash conversion lags revenue by 12–18 months. The 2028 FCF mid-point assumes this normalises — which is not yet evident in receivables disclosures.</w:t>
      </w:r>
    </w:p>
    <w:p>
      <w:pPr>
        <w:spacing w:after="10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We assign a 55% probability to hitting the £5.0bn lower bound, 30% to landing inside the £5.0–5.3bn corridor, and 15% to a miss below £4.5bn. Probability-weighted FCF for 2028 is c.£4.85bn — below the lower management bound.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ACTIONS FOR COMMITTEE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Hold existing position. Trim 15–20% into strength above 1,250p to free risk budget.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Re-engage with size on any pullback to 900–950p — the level where FY28 FCF yield clears 5.5% and the buyback acts as a credible demand floor.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Initiate a paired short vs. Safran / MTU on any further multiple expansion above 26x forward EPS — the relative valuation gap is the cleanest way to express the rerating-fatigue thesis without binary single-name risk.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Convene supply-chain due diligence with Tier-1 cast-parts suppliers (Doncasters, Howmet) to validate the 2027–28 ramp assumption.</w:t>
      </w:r>
    </w:p>
    <w:p>
      <w:pPr>
        <w:pBdr>
          <w:bottom w:val="single" w:color="1F3864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THESIS-BREAKERS</w:t>
      </w:r>
    </w:p>
    <w:p>
      <w:pPr>
        <w:spacing w:after="100" w:line="26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We would revisit to OVERWEIGHT on: (i) a meaningful upgrade to the 2028 corridor at the half-year (e.g. £5.5bn+); (ii) confirmed Power Systems M&amp;A bolt-on that demonstrably accretes FCF/share; (iii) any pullback below 950p without thesis impairment.</w:t>
      </w:r>
    </w:p>
    <w:p>
      <w:pPr>
        <w:pBdr>
          <w:top w:val="single" w:color="BFBFBF" w:sz="4" w:space="4"/>
        </w:pBdr>
        <w:spacing w:before="20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Sources: RR Holdings FY25 Results (26-Feb-26); LSE / Hargreaves Lansdown share data (21-May-26); internal DCF model RR_LBO_DCF_Model.xlsx. Prepared for internal IC use only — not for external distribution.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M&amp;A Advisory — 23 May 2026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PROJECT OSPREY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	INTERNAL — IC PRE-READ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Osprey — RR Holdings IC Memo</dc:title>
  <dc:creator>M&amp;A Advisory</dc:creator>
  <cp:lastModifiedBy>Un-named</cp:lastModifiedBy>
  <cp:revision>1</cp:revision>
  <dcterms:created xsi:type="dcterms:W3CDTF">2026-05-23T10:24:57.385Z</dcterms:created>
  <dcterms:modified xsi:type="dcterms:W3CDTF">2026-05-23T10:24:57.386Z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