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SIDDAGANGA INSTITUTE OF TECHNOLOGY - TUMAKURU 572103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Department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Mini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Project Synopsis for the Academic Year 202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-2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7"/>
        <w:gridCol w:w="6499"/>
        <w:tblGridChange w:id="0">
          <w:tblGrid>
            <w:gridCol w:w="2527"/>
            <w:gridCol w:w="64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Batch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&lt;&gt;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Student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Saurav S  1SI23CI047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Anikethan M 1SI23CI007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Lekha HK  1SI23CS097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Manish Anand 1SI24CS095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Guide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Gururaj S 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Title of the 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AI-Powered Banking Fraud &amp; Compliance Intelligence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Financial institutions process millions of transactions daily, making fraud detection and regulatory compliance increasingly difficult. Existing systems rely on static, rule-based approaches that are not adaptive to evolving fraud patterns.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Current systems suffer from: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ind w:left="480" w:hanging="24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• Over 95% of AML alerts are false positives, wasting analyst time and resources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ind w:left="480" w:hanging="24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• Purely reactive detection — fraud is flagged after the damage is done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480" w:hanging="24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• Disconnected data silos — KYC, transactions, and behavioural signals are never analysed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There is a need for a unified, proactive AI platform that brings together all available data and uses intelligent agents to detect fraud before it completes — while automating compliance workflows.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This project presents an AI-Powered Banking Fraud and Compliance Intelligence Platform — a unified, multi-agent system that proactively detects financial fraud and automates regulatory compliance for financial institutions.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The platform integrates a Knowledge Graph, Graph Neural Networks (GNN), Retrieval-Augmented Generation (RAG), and Large Language Models (LLMs) into a four-layer architecture covering data ingestion, intelligence processing, AI agent collaboration, and automated actions.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Six specialised AI agents — a Fraud Detection Engine, AML Intelligence Agent, Transaction Risk Scoring system, Compliance Assistant, Customer Risk Profiler, and Fraud Investigation Graph — work together in real time to identify suspicious activity across the full network of accounts, devices, and relationships.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The platform reduces false positives by up to 95%, automates Suspicious Activity Report (SAR) generation, and provides explainable AI decisions that satisfy regulatory requirements — all without requiring modifications to existing banking infrastructure.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Objectives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1.  To build a unified AI platform that integrates transaction data, KYC profiles, behavioural logs, and external watchlists into a single intelligence layer.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2.  To detect fraud and money laundering using Graph Neural Networks that analyse relationships and patterns across entire networks of accounts and entities.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3.  To reduce false positive alert rates by up to 95% through dynamic customer risk profiling and multi-agent corroboration.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Applications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1.  Commercial banks and NBFCs: Real-time fraud detection and AML compliance for retail and corporate banking operations.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2.  Payment gateways and fintech platforms: Transaction risk scoring and account takeover prevention at scale.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3.  Regulatory bodies and financial intelligence units: Automated SAR/CTR filing and cross-institution fraud intelligence sharing.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4.  Insurance companies: Detection of fraudulent claims through behavioural profiling and network analysis.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2"/>
                <w:szCs w:val="22"/>
                <w:rtl w:val="0"/>
              </w:rPr>
              <w:t xml:space="preserve">5.  Cryptocurrency exchanges: AML compliance and detection of illicit on-chain and off-chain transaction patterns.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Signature of students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Name and Signature of Guide with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