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sz w:val="24"/>
          <w:szCs w:val="24"/>
          <w:rtl w:val="0"/>
          <w:lang w:val="en-US"/>
        </w:rPr>
        <w:t>SIDDAGANGA INSTITUTE OF TECHNOLOGY - TUMAKURU 572103</w:t>
      </w:r>
    </w:p>
    <w:p>
      <w:pPr>
        <w:pStyle w:val="Body"/>
        <w:jc w:val="center"/>
      </w:pPr>
      <w:r>
        <w:rPr>
          <w:b w:val="1"/>
          <w:bCs w:val="1"/>
          <w:sz w:val="24"/>
          <w:szCs w:val="24"/>
          <w:rtl w:val="0"/>
          <w:lang w:val="en-US"/>
        </w:rPr>
        <w:t>Department of Computer Science and Engineering</w:t>
      </w:r>
    </w:p>
    <w:p>
      <w:pPr>
        <w:pStyle w:val="Body"/>
        <w:jc w:val="center"/>
      </w:pPr>
      <w:r>
        <w:rPr>
          <w:b w:val="1"/>
          <w:bCs w:val="1"/>
          <w:sz w:val="24"/>
          <w:szCs w:val="24"/>
          <w:rtl w:val="0"/>
          <w:lang w:val="en-US"/>
        </w:rPr>
        <w:t>Mini Project Synopsis for the Academic Year 2026-27</w:t>
      </w:r>
    </w:p>
    <w:p>
      <w:pPr>
        <w:pStyle w:val="Body"/>
      </w:pPr>
    </w:p>
    <w:tbl>
      <w:tblPr>
        <w:tblW w:w="90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25"/>
        <w:gridCol w:w="6495"/>
      </w:tblGrid>
      <w:tr>
        <w:tblPrEx>
          <w:shd w:val="clear" w:color="auto" w:fill="ced7e7"/>
        </w:tblPrEx>
        <w:trPr>
          <w:trHeight w:val="246" w:hRule="atLeast"/>
        </w:trPr>
        <w:tc>
          <w:tcPr>
            <w:tcW w:type="dxa" w:w="25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Batch No.</w:t>
            </w:r>
          </w:p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B69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525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Student details</w:t>
            </w:r>
          </w:p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Saurav S  1SI23CI047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525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</w:tcPr>
          <w:p/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Anikethan M 1SI23CI007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525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</w:tcPr>
          <w:p/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Lekha HK  1SI23CS097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525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</w:tcPr>
          <w:p/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Manish Anand 1SI24CS095</w:t>
            </w:r>
          </w:p>
        </w:tc>
      </w:tr>
      <w:tr>
        <w:tblPrEx>
          <w:shd w:val="clear" w:color="auto" w:fill="ced7e7"/>
        </w:tblPrEx>
        <w:trPr>
          <w:trHeight w:val="246" w:hRule="atLeast"/>
        </w:trPr>
        <w:tc>
          <w:tcPr>
            <w:tcW w:type="dxa" w:w="25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Guide details</w:t>
            </w:r>
          </w:p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2"/>
                <w:szCs w:val="22"/>
                <w:shd w:val="nil" w:color="auto" w:fill="auto"/>
                <w:rtl w:val="0"/>
              </w:rPr>
              <w:t xml:space="preserve">Gururaj S P </w:t>
            </w:r>
          </w:p>
        </w:tc>
      </w:tr>
      <w:tr>
        <w:tblPrEx>
          <w:shd w:val="clear" w:color="auto" w:fill="ced7e7"/>
        </w:tblPrEx>
        <w:trPr>
          <w:trHeight w:val="246" w:hRule="atLeast"/>
        </w:trPr>
        <w:tc>
          <w:tcPr>
            <w:tcW w:type="dxa" w:w="25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Title of the project</w:t>
            </w:r>
          </w:p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AI-Powered Banking Fraud &amp; Compliance Intelligence Platform</w:t>
            </w:r>
          </w:p>
        </w:tc>
      </w:tr>
      <w:tr>
        <w:tblPrEx>
          <w:shd w:val="clear" w:color="auto" w:fill="ced7e7"/>
        </w:tblPrEx>
        <w:trPr>
          <w:trHeight w:val="3806" w:hRule="atLeast"/>
        </w:trPr>
        <w:tc>
          <w:tcPr>
            <w:tcW w:type="dxa" w:w="25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Problem Statement</w:t>
            </w:r>
          </w:p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shd w:val="nil" w:color="auto" w:fill="auto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Financial institutions process millions of transactions daily, making fraud detection and regulatory compliance increasingly difficult. Existing systems rely on static, rule-based approaches that are not adaptive to evolving fraud patterns.</w:t>
            </w:r>
          </w:p>
          <w:p>
            <w:pPr>
              <w:pStyle w:val="Body"/>
              <w:rPr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Current systems suffer from:</w:t>
            </w:r>
          </w:p>
          <w:p>
            <w:pPr>
              <w:pStyle w:val="Body"/>
              <w:bidi w:val="0"/>
              <w:ind w:left="480" w:right="0" w:hanging="240"/>
              <w:jc w:val="left"/>
              <w:rPr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</w:rPr>
              <w:t xml:space="preserve">•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Over 95% of AML alerts are false positives, wasting analyst time and resources</w:t>
            </w:r>
          </w:p>
          <w:p>
            <w:pPr>
              <w:pStyle w:val="Body"/>
              <w:bidi w:val="0"/>
              <w:ind w:left="480" w:right="0" w:hanging="240"/>
              <w:jc w:val="left"/>
              <w:rPr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</w:rPr>
              <w:t xml:space="preserve">•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Purely reactive detection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fraud is flagged after the damage is done</w:t>
            </w:r>
          </w:p>
          <w:p>
            <w:pPr>
              <w:pStyle w:val="Body"/>
              <w:bidi w:val="0"/>
              <w:ind w:left="480" w:right="0" w:hanging="240"/>
              <w:jc w:val="left"/>
              <w:rPr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</w:rPr>
              <w:t xml:space="preserve">•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Disconnected data silos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KYC, transactions, and behavioural signals are never analysed together</w:t>
            </w:r>
          </w:p>
          <w:p>
            <w:pPr>
              <w:pStyle w:val="Body"/>
              <w:rPr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There is a need for a unified, proactive AI platform that brings together all available data and uses intelligent agents to detect fraud before it completes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while automating compliance workflows.</w:t>
            </w:r>
          </w:p>
        </w:tc>
      </w:tr>
      <w:tr>
        <w:tblPrEx>
          <w:shd w:val="clear" w:color="auto" w:fill="ced7e7"/>
        </w:tblPrEx>
        <w:trPr>
          <w:trHeight w:val="4746" w:hRule="atLeast"/>
        </w:trPr>
        <w:tc>
          <w:tcPr>
            <w:tcW w:type="dxa" w:w="25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de-DE"/>
              </w:rPr>
              <w:t>Abstract</w:t>
            </w:r>
          </w:p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shd w:val="nil" w:color="auto" w:fill="auto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This project presents an AI-Powered Banking Fraud and Compliance Intelligence Platform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 unified, multi-agent system that proactively detects financial fraud and automates regulatory compliance for financial institutions.</w:t>
            </w:r>
          </w:p>
          <w:p>
            <w:pPr>
              <w:pStyle w:val="Body"/>
              <w:rPr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The platform integrates a Knowledge Graph, Graph Neural Networks (GNN), Retrieval-Augmented Generation (RAG), and Large Language Models (LLMs) into a four-layer architecture covering data ingestion, intelligence processing, AI agent collaboration, and automated actions.</w:t>
            </w:r>
          </w:p>
          <w:p>
            <w:pPr>
              <w:pStyle w:val="Body"/>
              <w:rPr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Six specialised AI agents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a Fraud Detection Engine, AML Intelligence Agent, Transaction Risk Scoring system, Compliance Assistant, Customer Risk Profiler, and Fraud Investigation Graph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work together in real time to identify suspicious activity across the full network of accounts, devices, and relationships.</w:t>
            </w:r>
          </w:p>
          <w:p>
            <w:pPr>
              <w:pStyle w:val="Body"/>
              <w:rPr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The platform reduces false positives by up to 95%, automates Suspicious Activity Report (SAR) generation, and provides explainable AI decisions that satisfy regulatory requirements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all without requiring modifications to existing banking infrastructure.</w:t>
            </w:r>
          </w:p>
        </w:tc>
      </w:tr>
      <w:tr>
        <w:tblPrEx>
          <w:shd w:val="clear" w:color="auto" w:fill="ced7e7"/>
        </w:tblPrEx>
        <w:trPr>
          <w:trHeight w:val="2587" w:hRule="atLeast"/>
        </w:trPr>
        <w:tc>
          <w:tcPr>
            <w:tcW w:type="dxa" w:w="25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Objectives</w:t>
            </w:r>
          </w:p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shd w:val="nil" w:color="auto" w:fill="auto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1.  To build a unified AI platform that integrates transaction data, KYC profiles, behavioural logs, and external watchlists into a single intelligence layer.</w:t>
            </w:r>
          </w:p>
          <w:p>
            <w:pPr>
              <w:pStyle w:val="Body"/>
              <w:rPr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2.  To detect fraud and money laundering using Graph Neural Networks that analyse relationships and patterns across entire networks of accounts and entities.</w:t>
            </w:r>
          </w:p>
          <w:p>
            <w:pPr>
              <w:pStyle w:val="Body"/>
              <w:rPr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3.  To reduce false positive alert rates by up to 95% through dynamic customer risk profiling and multi-agent corroboration.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3286" w:hRule="atLeast"/>
        </w:trPr>
        <w:tc>
          <w:tcPr>
            <w:tcW w:type="dxa" w:w="25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Applications</w:t>
            </w:r>
          </w:p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shd w:val="nil" w:color="auto" w:fill="auto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1.  Commercial banks and NBFCs: Real-time fraud detection and AML compliance for retail and corporate banking operations.</w:t>
            </w:r>
          </w:p>
          <w:p>
            <w:pPr>
              <w:pStyle w:val="Body"/>
              <w:rPr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2.  Payment gateways and fintech platforms: Transaction risk scoring and account takeover prevention at scale.</w:t>
            </w:r>
          </w:p>
          <w:p>
            <w:pPr>
              <w:pStyle w:val="Body"/>
              <w:rPr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3.  Regulatory bodies and financial intelligence units: Automated SAR/CTR filing and cross-institution fraud intelligence sharing.</w:t>
            </w:r>
          </w:p>
          <w:p>
            <w:pPr>
              <w:pStyle w:val="Body"/>
              <w:rPr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4.  Insurance companies: Detection of fraudulent claims through behavioural profiling and network analysis.</w:t>
            </w:r>
          </w:p>
          <w:p>
            <w:pPr>
              <w:pStyle w:val="Body"/>
              <w:rPr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5.  Cryptocurrency exchanges: AML compliance and detection of illicit on-chain and off-chain transaction patterns.</w:t>
            </w:r>
          </w:p>
        </w:tc>
      </w:tr>
      <w:tr>
        <w:tblPrEx>
          <w:shd w:val="clear" w:color="auto" w:fill="ced7e7"/>
        </w:tblPrEx>
        <w:trPr>
          <w:trHeight w:val="447" w:hRule="atLeast"/>
        </w:trPr>
        <w:tc>
          <w:tcPr>
            <w:tcW w:type="dxa" w:w="25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Signature of students</w:t>
            </w:r>
          </w:p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5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Name and Signature of Guide with date</w:t>
            </w:r>
          </w:p>
        </w:tc>
        <w:tc>
          <w:tcPr>
            <w:tcW w:type="dxa" w:w="64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</w:rPr>
            </w:r>
          </w:p>
        </w:tc>
      </w:tr>
    </w:tbl>
    <w:p>
      <w:pPr>
        <w:pStyle w:val="Body"/>
        <w:widowControl w:val="0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