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</w:pPr>
      <w:r>
        <w:rPr>
          <w:b w:val="1"/>
          <w:bCs w:val="1"/>
          <w:sz w:val="24"/>
          <w:szCs w:val="24"/>
          <w:rtl w:val="0"/>
          <w:lang w:val="en-US"/>
        </w:rPr>
        <w:t>SIDDAGANGA INSTITUTE OF TECHNOLOGY - TUMAKURU 572103</w:t>
      </w:r>
    </w:p>
    <w:p>
      <w:pPr>
        <w:pStyle w:val="Body"/>
        <w:jc w:val="center"/>
      </w:pPr>
      <w:r>
        <w:rPr>
          <w:b w:val="1"/>
          <w:bCs w:val="1"/>
          <w:sz w:val="24"/>
          <w:szCs w:val="24"/>
          <w:rtl w:val="0"/>
          <w:lang w:val="en-US"/>
        </w:rPr>
        <w:t>Department of Computer Science and Engineering</w:t>
      </w:r>
    </w:p>
    <w:p>
      <w:pPr>
        <w:pStyle w:val="Body"/>
        <w:jc w:val="center"/>
      </w:pPr>
      <w:r>
        <w:rPr>
          <w:b w:val="1"/>
          <w:bCs w:val="1"/>
          <w:sz w:val="24"/>
          <w:szCs w:val="24"/>
          <w:rtl w:val="0"/>
          <w:lang w:val="en-US"/>
        </w:rPr>
        <w:t>Mini Project Synopsis for the Academic Year 2026-27</w:t>
      </w:r>
    </w:p>
    <w:p>
      <w:pPr>
        <w:pStyle w:val="Body"/>
      </w:pPr>
    </w:p>
    <w:tbl>
      <w:tblPr>
        <w:tblW w:w="90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525"/>
        <w:gridCol w:w="6495"/>
      </w:tblGrid>
      <w:tr>
        <w:tblPrEx>
          <w:shd w:val="clear" w:color="auto" w:fill="ced7e7"/>
        </w:tblPrEx>
        <w:trPr>
          <w:trHeight w:val="246" w:hRule="atLeast"/>
        </w:trPr>
        <w:tc>
          <w:tcPr>
            <w:tcW w:type="dxa" w:w="2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Batch No.</w:t>
            </w:r>
          </w:p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rFonts w:ascii="Times New Roman" w:hAnsi="Times New Roman"/>
                <w:sz w:val="22"/>
                <w:szCs w:val="22"/>
                <w:rtl w:val="0"/>
              </w:rPr>
              <w:t>B69</w:t>
            </w:r>
          </w:p>
        </w:tc>
      </w:tr>
      <w:tr>
        <w:tblPrEx>
          <w:shd w:val="clear" w:color="auto" w:fill="ced7e7"/>
        </w:tblPrEx>
        <w:trPr>
          <w:trHeight w:val="227" w:hRule="atLeast"/>
        </w:trPr>
        <w:tc>
          <w:tcPr>
            <w:tcW w:type="dxa" w:w="2525"/>
            <w:vMerge w:val="restart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Student details</w:t>
            </w:r>
          </w:p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pt-PT"/>
              </w:rPr>
              <w:t>Saurav S  1SI23CI047</w:t>
            </w:r>
          </w:p>
        </w:tc>
      </w:tr>
      <w:tr>
        <w:tblPrEx>
          <w:shd w:val="clear" w:color="auto" w:fill="ced7e7"/>
        </w:tblPrEx>
        <w:trPr>
          <w:trHeight w:val="227" w:hRule="atLeast"/>
        </w:trPr>
        <w:tc>
          <w:tcPr>
            <w:tcW w:type="dxa" w:w="2525"/>
            <w:vMerge w:val="continue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</w:tcPr>
          <w:p/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pt-PT"/>
              </w:rPr>
              <w:t>Anikethan M 1SI23CI007</w:t>
            </w:r>
          </w:p>
        </w:tc>
      </w:tr>
      <w:tr>
        <w:tblPrEx>
          <w:shd w:val="clear" w:color="auto" w:fill="ced7e7"/>
        </w:tblPrEx>
        <w:trPr>
          <w:trHeight w:val="227" w:hRule="atLeast"/>
        </w:trPr>
        <w:tc>
          <w:tcPr>
            <w:tcW w:type="dxa" w:w="2525"/>
            <w:vMerge w:val="continue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</w:tcPr>
          <w:p/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pt-PT"/>
              </w:rPr>
              <w:t>Lekha HK  1SI23CS097</w:t>
            </w:r>
          </w:p>
        </w:tc>
      </w:tr>
      <w:tr>
        <w:tblPrEx>
          <w:shd w:val="clear" w:color="auto" w:fill="ced7e7"/>
        </w:tblPrEx>
        <w:trPr>
          <w:trHeight w:val="227" w:hRule="atLeast"/>
        </w:trPr>
        <w:tc>
          <w:tcPr>
            <w:tcW w:type="dxa" w:w="2525"/>
            <w:vMerge w:val="continue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</w:tcPr>
          <w:p/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pt-PT"/>
              </w:rPr>
              <w:t>Manish Anand 1SI24CS095</w:t>
            </w:r>
          </w:p>
        </w:tc>
      </w:tr>
      <w:tr>
        <w:tblPrEx>
          <w:shd w:val="clear" w:color="auto" w:fill="ced7e7"/>
        </w:tblPrEx>
        <w:trPr>
          <w:trHeight w:val="246" w:hRule="atLeast"/>
        </w:trPr>
        <w:tc>
          <w:tcPr>
            <w:tcW w:type="dxa" w:w="2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Guide details</w:t>
            </w:r>
          </w:p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</w:rPr>
              <w:t xml:space="preserve">Gururaj S P </w:t>
            </w:r>
          </w:p>
        </w:tc>
      </w:tr>
      <w:tr>
        <w:tblPrEx>
          <w:shd w:val="clear" w:color="auto" w:fill="ced7e7"/>
        </w:tblPrEx>
        <w:trPr>
          <w:trHeight w:val="246" w:hRule="atLeast"/>
        </w:trPr>
        <w:tc>
          <w:tcPr>
            <w:tcW w:type="dxa" w:w="2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Title of the project</w:t>
            </w:r>
          </w:p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AI-Powered Banking Fraud &amp; Compliance Intelligence Platform</w:t>
            </w:r>
          </w:p>
        </w:tc>
      </w:tr>
      <w:tr>
        <w:tblPrEx>
          <w:shd w:val="clear" w:color="auto" w:fill="ced7e7"/>
        </w:tblPrEx>
        <w:trPr>
          <w:trHeight w:val="3806" w:hRule="atLeast"/>
        </w:trPr>
        <w:tc>
          <w:tcPr>
            <w:tcW w:type="dxa" w:w="2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Problem Statement</w:t>
            </w:r>
          </w:p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rPr>
                <w:shd w:val="nil" w:color="auto" w:fill="auto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Financial institutions process millions of transactions daily, making fraud detection and regulatory compliance increasingly difficult. Existing systems rely on static, rule-based approaches that are not adaptive to evolving fraud patterns.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Current systems suffer from:</w:t>
            </w:r>
          </w:p>
          <w:p>
            <w:pPr>
              <w:pStyle w:val="Body"/>
              <w:bidi w:val="0"/>
              <w:ind w:left="480" w:right="0" w:hanging="240"/>
              <w:jc w:val="left"/>
              <w:rPr>
                <w:shd w:val="nil" w:color="auto" w:fill="auto"/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</w:rPr>
              <w:t xml:space="preserve">•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Over 95% of AML alerts are false positives, wasting analyst time and resources</w:t>
            </w:r>
          </w:p>
          <w:p>
            <w:pPr>
              <w:pStyle w:val="Body"/>
              <w:bidi w:val="0"/>
              <w:ind w:left="480" w:right="0" w:hanging="240"/>
              <w:jc w:val="left"/>
              <w:rPr>
                <w:shd w:val="nil" w:color="auto" w:fill="auto"/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</w:rPr>
              <w:t xml:space="preserve">•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Purely reactive detection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fraud is flagged after the damage is done</w:t>
            </w:r>
          </w:p>
          <w:p>
            <w:pPr>
              <w:pStyle w:val="Body"/>
              <w:bidi w:val="0"/>
              <w:ind w:left="480" w:right="0" w:hanging="240"/>
              <w:jc w:val="left"/>
              <w:rPr>
                <w:shd w:val="nil" w:color="auto" w:fill="auto"/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</w:rPr>
              <w:t xml:space="preserve">•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Disconnected data silos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KYC, transactions, and behavioural signals are never analysed together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There is a need for a unified, proactive AI platform that brings together all available data and uses intelligent agents to detect fraud before it completes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while automating compliance workflows.</w:t>
            </w:r>
          </w:p>
        </w:tc>
      </w:tr>
      <w:tr>
        <w:tblPrEx>
          <w:shd w:val="clear" w:color="auto" w:fill="ced7e7"/>
        </w:tblPrEx>
        <w:trPr>
          <w:trHeight w:val="4746" w:hRule="atLeast"/>
        </w:trPr>
        <w:tc>
          <w:tcPr>
            <w:tcW w:type="dxa" w:w="2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de-DE"/>
              </w:rPr>
              <w:t>Abstract</w:t>
            </w:r>
          </w:p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rPr>
                <w:shd w:val="nil" w:color="auto" w:fill="auto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This project presents an AI-Powered Banking Fraud and Compliance Intelligence Platform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a unified, multi-agent system that proactively detects financial fraud and automates regulatory compliance for financial institutions.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The platform integrates a Knowledge Graph, Graph Neural Networks (GNN), Retrieval-Augmented Generation (RAG), and Large Language Models (LLMs) into a four-layer architecture covering data ingestion, intelligence processing, AI agent collaboration, and automated actions.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Six specialised AI agents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a Fraud Detection Engine, AML Intelligence Agent, Transaction Risk Scoring system, Compliance Assistant, Customer Risk Profiler, and Fraud Investigation Graph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work together in real time to identify suspicious activity across the full network of accounts, devices, and relationships.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The platform reduces false positives by up to 95%, automates Suspicious Activity Report (SAR) generation, and provides explainable AI decisions that satisfy regulatory requirements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all without requiring modifications to existing banking infrastructure.</w:t>
            </w:r>
          </w:p>
        </w:tc>
      </w:tr>
      <w:tr>
        <w:tblPrEx>
          <w:shd w:val="clear" w:color="auto" w:fill="ced7e7"/>
        </w:tblPrEx>
        <w:trPr>
          <w:trHeight w:val="2587" w:hRule="atLeast"/>
        </w:trPr>
        <w:tc>
          <w:tcPr>
            <w:tcW w:type="dxa" w:w="2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Objectives</w:t>
            </w:r>
          </w:p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rPr>
                <w:shd w:val="nil" w:color="auto" w:fill="auto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1.  To build a unified AI platform that integrates transaction data, KYC profiles, behavioural logs, and external watchlists into a single intelligence layer.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2.  To detect fraud and money laundering using Graph Neural Networks that analyse relationships and patterns across entire networks of accounts and entities.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3.  To reduce false positive alert rates by up to 95% through dynamic customer risk profiling and multi-agent corroboration.</w:t>
            </w:r>
            <w:r>
              <w:rPr>
                <w:shd w:val="nil" w:color="auto" w:fill="auto"/>
              </w:rPr>
            </w:r>
          </w:p>
        </w:tc>
      </w:tr>
      <w:tr>
        <w:tblPrEx>
          <w:shd w:val="clear" w:color="auto" w:fill="ced7e7"/>
        </w:tblPrEx>
        <w:trPr>
          <w:trHeight w:val="3286" w:hRule="atLeast"/>
        </w:trPr>
        <w:tc>
          <w:tcPr>
            <w:tcW w:type="dxa" w:w="2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Applications</w:t>
            </w:r>
          </w:p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rPr>
                <w:shd w:val="nil" w:color="auto" w:fill="auto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1.  Commercial banks and NBFCs: Real-time fraud detection and AML compliance for retail and corporate banking operations.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2.  Payment gateways and fintech platforms: Transaction risk scoring and account takeover prevention at scale.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3.  Regulatory bodies and financial intelligence units: Automated SAR/CTR filing and cross-institution fraud intelligence sharing.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4.  Insurance companies: Detection of fraudulent claims through behavioural profiling and network analysis.</w:t>
            </w:r>
          </w:p>
          <w:p>
            <w:pPr>
              <w:pStyle w:val="Body"/>
              <w:rPr>
                <w:shd w:val="nil" w:color="auto" w:fill="auto"/>
              </w:rPr>
            </w:pPr>
          </w:p>
          <w:p>
            <w:pPr>
              <w:pStyle w:val="Body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5.  Cryptocurrency exchanges: AML compliance and detection of illicit on-chain and off-chain transaction patterns.</w:t>
            </w:r>
          </w:p>
        </w:tc>
      </w:tr>
      <w:tr>
        <w:tblPrEx>
          <w:shd w:val="clear" w:color="auto" w:fill="ced7e7"/>
        </w:tblPrEx>
        <w:trPr>
          <w:trHeight w:val="447" w:hRule="atLeast"/>
        </w:trPr>
        <w:tc>
          <w:tcPr>
            <w:tcW w:type="dxa" w:w="2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Signature of students</w:t>
            </w:r>
          </w:p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</w:rPr>
            </w:r>
          </w:p>
        </w:tc>
      </w:tr>
      <w:tr>
        <w:tblPrEx>
          <w:shd w:val="clear" w:color="auto" w:fill="ced7e7"/>
        </w:tblPrEx>
        <w:trPr>
          <w:trHeight w:val="486" w:hRule="atLeast"/>
        </w:trPr>
        <w:tc>
          <w:tcPr>
            <w:tcW w:type="dxa" w:w="2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Name and Signature of Guide with date</w:t>
            </w:r>
          </w:p>
        </w:tc>
        <w:tc>
          <w:tcPr>
            <w:tcW w:type="dxa" w:w="6494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</w:rPr>
            </w:r>
          </w:p>
        </w:tc>
      </w:tr>
    </w:tbl>
    <w:p>
      <w:pPr>
        <w:pStyle w:val="Body"/>
        <w:widowControl w:val="0"/>
      </w:pP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