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Test Report</w:t>
      </w:r>
    </w:p>
    <w:p>
      <w:pPr>
        <w:spacing w:after="360"/>
      </w:pPr>
      <w:r>
        <w:rPr>
          <w:i/>
          <w:color w:val="64748B"/>
          <w:sz w:val="20"/>
        </w:rPr>
        <w:t>Author / Researcher: Lead Lab Researcher  |  Date: October 14, 2026  |  Status: DRAFT_PENDING_REVIEW</w:t>
      </w:r>
    </w:p>
    <w:p>
      <w:pPr>
        <w:pStyle w:val="Heading1"/>
        <w:spacing w:before="240" w:after="80"/>
      </w:pPr>
      <w:r>
        <w:rPr>
          <w:rFonts w:ascii="Calibri" w:hAnsi="Calibri"/>
          <w:b/>
          <w:color w:val="1E3A8A"/>
          <w:sz w:val="28"/>
        </w:rPr>
        <w:t>Abstract</w:t>
      </w:r>
    </w:p>
    <w:p>
      <w:pPr>
        <w:spacing w:line="276" w:lineRule="auto" w:after="160"/>
      </w:pPr>
      <w:r>
        <w:rPr>
          <w:rFonts w:ascii="Calibri" w:hAnsi="Calibri"/>
          <w:sz w:val="22"/>
        </w:rPr>
        <w:t>This laboratory investigation evaluated the research objective: 'Evaluate recovery days and biomarker reduction across treatment arms (Placebo vs Drug A vs Drug B).'. The dataset comprised 120 observations across 8 attributes, exhibiting an overall data health index of 99.8%. Empirical analyses incorporated descriptive profiling, distributional normality diagnostics, and formal hypothesis testing. Two-Sample Comparison indicated not statistically significant outcomes (t(118) = 1.92, p = 0.057, d = 0.35). Two-Sample Comparison indicated not statistically significant outcomes (t(118) = 1.53, p = 0.127, d = 0.38). Findings support empirical decision-making with human-in-the-loop researcher verification.</w:t>
      </w:r>
    </w:p>
    <w:p>
      <w:pPr>
        <w:pStyle w:val="Heading1"/>
        <w:spacing w:before="240" w:after="80"/>
      </w:pPr>
      <w:r>
        <w:rPr>
          <w:rFonts w:ascii="Calibri" w:hAnsi="Calibri"/>
          <w:b/>
          <w:color w:val="1E3A8A"/>
          <w:sz w:val="28"/>
        </w:rPr>
        <w:t>1. Introduction &amp; Research Objectives</w:t>
      </w:r>
    </w:p>
    <w:p>
      <w:pPr>
        <w:spacing w:line="276" w:lineRule="auto" w:after="160"/>
      </w:pPr>
      <w:r>
        <w:rPr>
          <w:rFonts w:ascii="Calibri" w:hAnsi="Calibri"/>
          <w:sz w:val="22"/>
        </w:rPr>
        <w:t>The primary inquiry of this study is to examine: Evaluate recovery days and biomarker reduction across treatment arms (Placebo vs Drug A vs Drug B).</w:t>
        <w:br/>
        <w:br/>
        <w:t>Accurate computational modeling in academic and clinical laboratory workflows requires rigorous distinction between statistical significance and effect magnitude. In alignment with established laboratory protocols, analytical methods were chosen based on empirical feature distributions and homoscedasticity criteria.</w:t>
      </w:r>
    </w:p>
    <w:p>
      <w:pPr>
        <w:pStyle w:val="Heading1"/>
        <w:spacing w:before="240" w:after="80"/>
      </w:pPr>
      <w:r>
        <w:rPr>
          <w:rFonts w:ascii="Calibri" w:hAnsi="Calibri"/>
          <w:b/>
          <w:color w:val="1E3A8A"/>
          <w:sz w:val="28"/>
        </w:rPr>
        <w:t>2. Data Quality &amp; Preprocessing Methodology</w:t>
      </w:r>
    </w:p>
    <w:p>
      <w:pPr>
        <w:spacing w:line="276" w:lineRule="auto" w:after="160"/>
      </w:pPr>
      <w:r>
        <w:rPr>
          <w:rFonts w:ascii="Calibri" w:hAnsi="Calibri"/>
          <w:sz w:val="22"/>
        </w:rPr>
        <w:t>The raw dataset was audited for data hygiene prior to inference. A total of 3 missing values (0.31% missingness) and 0 duplicate records were cataloged.  No critical data integrity violations or severe multicollinearity constraints were noted.</w:t>
      </w:r>
    </w:p>
    <w:p>
      <w:pPr>
        <w:pStyle w:val="Heading1"/>
      </w:pPr>
      <w:r>
        <w:rPr>
          <w:rFonts w:ascii="Calibri" w:hAnsi="Calibri"/>
          <w:b/>
          <w:color w:val="1E3A8A"/>
          <w:sz w:val="28"/>
        </w:rPr>
        <w:t>3. Statistical Analysis &amp; Hypothesis Testing</w:t>
      </w:r>
    </w:p>
    <w:p>
      <w:pPr>
        <w:pStyle w:val="Heading2"/>
      </w:pPr>
      <w:r>
        <w:rPr>
          <w:b/>
          <w:sz w:val="24"/>
        </w:rPr>
        <w:t>Finding 1: Two-Sample Comparison</w:t>
      </w:r>
    </w:p>
    <w:p>
      <w:pPr>
        <w:spacing w:after="120"/>
      </w:pPr>
      <w:r>
        <w:rPr>
          <w:sz w:val="22"/>
        </w:rPr>
        <w:t>Analysis 1: Two-Sample Comparison</w:t>
        <w:br/>
        <w:br/>
        <w:t>Formal evaluation failed to demonstrate statistical significance (p &gt;= .05), reported in APA style as: t(118) = 1.92, p = 0.057, d = 0.35.</w:t>
        <w:br/>
        <w:br/>
        <w:t>Group 'Female' (M = 21.9345, SD = 7.1659, n = 58) was compared against Group 'Male' (M = 19.5758, SD = 6.266, n = 62). The computed effect size was Cohen's d = 0.3512 (Small magnitude). Selected procedure was Student's t-test.</w:t>
      </w:r>
    </w:p>
    <w:p>
      <w:pPr>
        <w:pStyle w:val="Heading2"/>
      </w:pPr>
      <w:r>
        <w:rPr>
          <w:b/>
          <w:sz w:val="24"/>
        </w:rPr>
        <w:t>Finding 2: Two-Sample Comparison</w:t>
      </w:r>
    </w:p>
    <w:p>
      <w:pPr>
        <w:spacing w:after="120"/>
      </w:pPr>
      <w:r>
        <w:rPr>
          <w:sz w:val="22"/>
        </w:rPr>
        <w:t>Analysis 2: Two-Sample Comparison</w:t>
        <w:br/>
        <w:br/>
        <w:t>Formal evaluation failed to demonstrate statistical significance (p &gt;= .05), reported in APA style as: t(118) = 1.53, p = 0.127, d = 0.38.</w:t>
        <w:br/>
        <w:br/>
        <w:t>Group 'No' (M = 21.139, SD = 7.0539, n = 100) was compared against Group 'Yes' (M = 18.6, SD = 4.8953, n = 20). The computed effect size was Cohen's d = 0.376 (Small magnitude). Selected procedure was Student's t-test.</w:t>
      </w:r>
    </w:p>
    <w:p>
      <w:pPr>
        <w:pStyle w:val="Heading2"/>
      </w:pPr>
      <w:r>
        <w:rPr>
          <w:b/>
          <w:sz w:val="24"/>
        </w:rPr>
        <w:t>Finding 3: One-Way ANOVA</w:t>
      </w:r>
    </w:p>
    <w:p>
      <w:pPr>
        <w:spacing w:after="120"/>
      </w:pPr>
      <w:r>
        <w:rPr>
          <w:sz w:val="22"/>
        </w:rPr>
        <w:t>Analysis 3: One-Way ANOVA</w:t>
        <w:br/>
        <w:br/>
        <w:t>Formal evaluation failed to demonstrate statistical significance (p &gt;= .05), reported in APA style as: F(2, 114) = 2.40, p = 0.096, η² = 0.04.</w:t>
        <w:br/>
        <w:br/>
        <w:t xml:space="preserve">Omnibus variance assessment across 3 conditions yielded an effect size of η² = 0.0403. </w:t>
      </w:r>
    </w:p>
    <w:p>
      <w:pPr>
        <w:pStyle w:val="Heading1"/>
        <w:spacing w:before="240" w:after="80"/>
      </w:pPr>
      <w:r>
        <w:rPr>
          <w:rFonts w:ascii="Calibri" w:hAnsi="Calibri"/>
          <w:b/>
          <w:color w:val="1E3A8A"/>
          <w:sz w:val="28"/>
        </w:rPr>
        <w:t>4. Discussion &amp; Scientific Interpretation</w:t>
      </w:r>
    </w:p>
    <w:p>
      <w:pPr>
        <w:spacing w:line="276" w:lineRule="auto" w:after="160"/>
      </w:pPr>
      <w:r>
        <w:rPr>
          <w:rFonts w:ascii="Calibri" w:hAnsi="Calibri"/>
          <w:sz w:val="22"/>
        </w:rPr>
        <w:t>The quantitative evidence provides concrete empirical grounding regarding the research inquiry. Where statistical significance was observed, magnitude estimators confirm non-trivial practical effects. In non-significant comparisons, findings caution against premature causal inference without expanded sample sizes.</w:t>
      </w:r>
    </w:p>
    <w:p>
      <w:pPr>
        <w:pStyle w:val="Heading1"/>
        <w:spacing w:before="240" w:after="80"/>
      </w:pPr>
      <w:r>
        <w:rPr>
          <w:rFonts w:ascii="Calibri" w:hAnsi="Calibri"/>
          <w:b/>
          <w:color w:val="1E3A8A"/>
          <w:sz w:val="28"/>
        </w:rPr>
        <w:t>5. Limitations &amp; Threats to Validity</w:t>
      </w:r>
    </w:p>
    <w:p>
      <w:pPr>
        <w:spacing w:line="276" w:lineRule="auto" w:after="160"/>
      </w:pPr>
      <w:r>
        <w:rPr>
          <w:rFonts w:ascii="Calibri" w:hAnsi="Calibri"/>
          <w:sz w:val="22"/>
        </w:rPr>
        <w:t>1. Observational/Sample Constraints: Generalizability is subject to sample representativeness and unmeasured confounding.</w:t>
        <w:br/>
        <w:t>2. Measurement Precision: Data collection instruments and potential recording noise may introduce residual variance.</w:t>
        <w:br/>
        <w:t>3. Multiplicity: When conducting multiple exploratory comparisons, correction procedures (e.g., Bonferroni or FDR) should be considered.</w:t>
      </w:r>
    </w:p>
    <w:p>
      <w:pPr>
        <w:pStyle w:val="Heading1"/>
        <w:spacing w:before="240" w:after="80"/>
      </w:pPr>
      <w:r>
        <w:rPr>
          <w:rFonts w:ascii="Calibri" w:hAnsi="Calibri"/>
          <w:b/>
          <w:color w:val="1E3A8A"/>
          <w:sz w:val="28"/>
        </w:rPr>
        <w:t>6. Conclusion &amp; Recommendations</w:t>
      </w:r>
    </w:p>
    <w:p>
      <w:pPr>
        <w:spacing w:line="276" w:lineRule="auto" w:after="160"/>
      </w:pPr>
      <w:r>
        <w:rPr>
          <w:rFonts w:ascii="Calibri" w:hAnsi="Calibri"/>
          <w:sz w:val="22"/>
        </w:rPr>
        <w:t>Based on the empirical pipeline results for 'Evaluate recovery days and biomarker reduction across treatment arms (Placebo vs Drug A vs Drug B).', the laboratory team recommends:</w:t>
        <w:br/>
        <w:t>• Documenting these validated statistical findings into the master research register.</w:t>
        <w:br/>
        <w:t>• Performing human-in-the-loop cross-verification before final submission to peer review or professor evaluation.</w:t>
        <w:br/>
        <w:t>• Retaining computed test statistics and exploratory figures as supplementary research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