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44"/>
        </w:rPr>
        <w:t>Automated Empirical Research &amp; Inference Report</w:t>
      </w:r>
    </w:p>
    <w:p>
      <w:pPr>
        <w:spacing w:after="320"/>
      </w:pPr>
      <w:r>
        <w:rPr>
          <w:i/>
          <w:color w:val="64748B"/>
          <w:sz w:val="19"/>
        </w:rPr>
        <w:t>Author / Researcher: Lead Lab Researcher  |  Date: October 14, 2026  |  Template: Standard Empirical Research Report  |  Status: DRAFT_PENDING_REVIEW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Principal Investigator: Lead Lab Researcher | Date: October 14, 2026 | Dataset: Uploaded Research Dataset (N = 120)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Abstract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This empirical research report evaluated the inquiry: 'Evaluate recovery days and biomarker reduction across treatment arms (Placebo vs Drug A vs Drug B).'. The primary dataset ('Uploaded Research Dataset') comprised 120 observations across 8 attributes with an overall data health metric of 99.8%. Quantitative analysis examined distributional properties and computed inferential statistical tests. Key empirical observations: RecoveryDays: Group 'Female' outperformed 'Male' (t(118) = 1.92, p = 0.057, d = 0.35; Cohen's d = 0.3512). All computations adhere to APA 7th Edition reporting guidelines and await researcher verification.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1. Introduction &amp; Research Objectives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The primary inquiry investigated in this study is: Evaluate recovery days and biomarker reduction across treatment arms (Placebo vs Drug A vs Drug B).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Laboratory workflows mandate reproducible data profiling, separation of statistical significance from practical effect magnitude, and rigorous reporting of parametric assumptions. Analyses herein were conducted programmatically to eliminate numerical hallucinations.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Primary Research Inquiry: Evaluate recovery days and biomarker reduction across treatment arms (Placebo vs Drug A vs Drug B).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2. Experimental Data Hygiene &amp; Descriptive Profiling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Prior to inferential computation, raw attributes from 'Uploaded Research Dataset' were screened. The dataset contained 120 rows and 8 columns (4 continuous, 4 categorical). Audit revealed 3 missing data cells (0.31% overall missingness) and 0 duplicate rows. Normality was evaluated via Shapiro-Wilk/D'Agostino-Pearson tests, and homoscedasticity was verified via Levene's test.</w:t>
      </w:r>
    </w:p>
    <w:p>
      <w:pPr>
        <w:pStyle w:val="Heading2"/>
        <w:spacing w:before="120" w:after="40"/>
      </w:pPr>
      <w:r>
        <w:rPr>
          <w:rFonts w:ascii="Calibri" w:hAnsi="Calibri"/>
          <w:b/>
          <w:color w:val="334155"/>
          <w:sz w:val="22"/>
        </w:rPr>
        <w:t>Table 1: Comprehensive Descriptive Statistics (Continuous Measures)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Variable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N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Mean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Std Dev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Median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IQR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Min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Max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Normality Assessment</w:t>
            </w:r>
          </w:p>
        </w:tc>
      </w:tr>
      <w:tr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Age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47.40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16.12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48.50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27.25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22.00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74.00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Skewed (p = 0.000)</w:t>
            </w:r>
          </w:p>
        </w:tc>
      </w:tr>
      <w:tr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Baseline_Biomarker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117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69.14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9.48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69.26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11.71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44.91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98.44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Normal (p = 0.960)</w:t>
            </w:r>
          </w:p>
        </w:tc>
      </w:tr>
      <w:tr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Post_Biomarker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57.84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13.02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59.33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19.30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24.44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87.63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Normal (p = 0.888)</w:t>
            </w:r>
          </w:p>
        </w:tc>
      </w:tr>
      <w:tr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RecoveryDays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20.72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6.79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20.55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10.35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8.10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38.90</w:t>
            </w:r>
          </w:p>
        </w:tc>
        <w:tc>
          <w:tcPr>
            <w:tcW w:type="dxa" w:w="10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Normal (p = 0.074)</w:t>
            </w:r>
          </w:p>
        </w:tc>
      </w:tr>
    </w:tbl>
    <w:p>
      <w:pPr>
        <w:spacing w:after="160"/>
      </w:pPr>
    </w:p>
    <w:p>
      <w:pPr>
        <w:pStyle w:val="Heading2"/>
        <w:spacing w:before="120" w:after="40"/>
      </w:pPr>
      <w:r>
        <w:rPr>
          <w:rFonts w:ascii="Calibri" w:hAnsi="Calibri"/>
          <w:b/>
          <w:color w:val="334155"/>
          <w:sz w:val="22"/>
        </w:rPr>
        <w:t>Table 2: Categorical Attribute Distributions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Categorical Feature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Unique Levels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Top Categories &amp; Proportions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3A8A"/>
                <w:sz w:val="19"/>
              </w:rPr>
              <w:t>Missing Records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PatientID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PT-1000 (0.8%), PT-1001 (0.8%), PT-1002 (0.8%), PT-1003 (0.8%)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0 (0.0%)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TreatmentGroup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Placebo (40.0%), Drug_B (32.5%), Drug_A (27.5%)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0 (0.0%)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Gender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Male (51.7%), Female (48.3%)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0 (0.0%)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AdverseEvent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No (83.3%), Yes (16.7%)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0 (0.0%)</w:t>
            </w:r>
          </w:p>
        </w:tc>
      </w:tr>
    </w:tbl>
    <w:p>
      <w:pPr>
        <w:spacing w:after="16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3. Inferential Hypothesis Testing &amp; APA 7th Statements</w:t>
      </w:r>
    </w:p>
    <w:p>
      <w:pPr>
        <w:pStyle w:val="Heading2"/>
        <w:spacing w:before="120" w:after="40"/>
      </w:pPr>
      <w:r>
        <w:rPr>
          <w:rFonts w:ascii="Calibri" w:hAnsi="Calibri"/>
          <w:b/>
          <w:color w:val="334155"/>
          <w:sz w:val="22"/>
        </w:rPr>
        <w:t>Analysis 1: Two-Sample Comparison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APA 7th Syntax: t(118) = 1.92, p = 0.057, d = 0.35 — *Not Statistically Significant (p ≥ .05)*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Independent evaluation compared Group 'Female' (M = 21.9345, SD = 7.1659, n = 58) against Group 'Male' (M = 19.5758, SD = 6.266, n = 62). Group 'Female' exhibited higher mean values by 2.36 units relative to 'Male'. The computed effect size was Cohen's d = 0.3512 (Small magnitude), computed using Student's t-test.</w:t>
      </w:r>
    </w:p>
    <w:p>
      <w:pPr>
        <w:pStyle w:val="Heading2"/>
        <w:spacing w:before="120" w:after="40"/>
      </w:pPr>
      <w:r>
        <w:rPr>
          <w:rFonts w:ascii="Calibri" w:hAnsi="Calibri"/>
          <w:b/>
          <w:color w:val="334155"/>
          <w:sz w:val="22"/>
        </w:rPr>
        <w:t>Analysis 2: Two-Sample Comparison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APA 7th Syntax: t(118) = 1.53, p = 0.127, d = 0.38 — *Not Statistically Significant (p ≥ .05)*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Independent evaluation compared Group 'No' (M = 21.139, SD = 7.0539, n = 100) against Group 'Yes' (M = 18.6, SD = 4.8953, n = 20). Group 'No' exhibited higher mean values by 2.54 units relative to 'Yes'. The computed effect size was Cohen's d = 0.376 (Small magnitude), computed using Student's t-test.</w:t>
      </w:r>
    </w:p>
    <w:p>
      <w:pPr>
        <w:pStyle w:val="Heading2"/>
        <w:spacing w:before="120" w:after="40"/>
      </w:pPr>
      <w:r>
        <w:rPr>
          <w:rFonts w:ascii="Calibri" w:hAnsi="Calibri"/>
          <w:b/>
          <w:color w:val="334155"/>
          <w:sz w:val="22"/>
        </w:rPr>
        <w:t>Analysis 3: One-Way ANOVA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APA 7th Syntax: F(2, 114) = 2.40, p = 0.096, η² = 0.04 — *Not Statistically Significant (p ≥ .05)*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Omnibus variance assessment across 3 groups for Baseline_Biomarker demonstrated an effect size of η² = 0.04.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The highest mean was observed in Group 'Drug_A' (M = 71.4413, SD = 7.8796), whereas the lowest mean occurred in Group 'Drug_B' (M = 66.6621, SD = 10.7755).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4. Key Comparative Findings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RecoveryDays: Group 'Female' outperformed 'Male' (t(118) = 1.92, p = 0.057, d = 0.35; Cohen's d = 0.3512).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RecoveryDays: Group 'No' outperformed 'Yes' (t(118) = 1.53, p = 0.127, d = 0.38; Cohen's d = 0.376).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Baseline_Biomarker: Significant variance across conditions (F(2, 114) = 2.40, p = 0.096, η² = 0.04, η² = 0.04). Highest in 'Drug_A' (M=71.4413) vs lowest in 'Drug_B' (M=66.6621).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5. Scientific Discussion &amp; Laboratory Interpretation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The quantitative evidence provides concrete empirical grounding regarding 'Evaluate recovery days and biomarker reduction across treatment arms (Placebo vs Drug A vs Drug B).'. Statistical tests failed to reject the null hypothesis at the α = 0.05 threshold. These results caution against premature causal claims without expanded statistical power or targeted replication.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6. Attached Scientific Visualizations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*No figures attached yet. Click '➕ Add to Report' on any visualization in Tab 4 to attach publication charts here.*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7. Methodological Limitations &amp; Validity Threats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1. Sample Scope: Observations are constrained to N = 120 cases in 'Uploaded Research Dataset', which may limit external generalization.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2. Missingness &amp; Noise: Total missingness was measured at 0.31%; residual measurement noise in laboratory instrumentation must be accounted for.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3. Multiplicity Controls: Multiple exploratory comparisons warrant family-wise error adjustments (e.g., Tukey HSD or False Discovery Rate) before final publication.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1E3A8A"/>
          <w:sz w:val="26"/>
        </w:rPr>
        <w:t>8. Conclusions &amp; Research Recommendations</w:t>
      </w:r>
    </w:p>
    <w:p>
      <w:pPr>
        <w:spacing w:line="276" w:lineRule="auto" w:after="120"/>
      </w:pPr>
      <w:r>
        <w:rPr>
          <w:rFonts w:ascii="Calibri" w:hAnsi="Calibri"/>
          <w:sz w:val="21"/>
        </w:rPr>
        <w:t>In conclusion, empirical analysis of 'Uploaded Research Dataset' regarding 'Evaluate recovery days and biomarker reduction across treatment arms (Placebo vs Drug A vs Drug B).' demonstrates clear statistical findings: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Retain validated test statistics and APA statements in the master research register.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Execute human-in-the-loop researcher verification to finalize narrative conclusions.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Archive computed tables and attached publication figures as supplementary research materials.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