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3A8A"/>
          <w:sz w:val="44"/>
        </w:rPr>
        <w:t>Empirical Evaluation of RecoveryDays Discrepancies across Gender Cohorts (Clinical Drug Trial Phase Ii)</w:t>
      </w:r>
    </w:p>
    <w:p>
      <w:pPr>
        <w:spacing w:after="320"/>
      </w:pPr>
      <w:r>
        <w:rPr>
          <w:i/>
          <w:color w:val="64748B"/>
          <w:sz w:val="19"/>
        </w:rPr>
        <w:t>Author / Researcher: Lead Lab Researcher  |  Date: October 18, 2026  |  Template: Standard Empirical Research Report  |  Status: DRAFT_PENDING_REVIEW</w:t>
      </w:r>
    </w:p>
    <w:p>
      <w:pPr>
        <w:spacing w:line="276" w:lineRule="auto" w:after="120"/>
      </w:pPr>
      <w:r>
        <w:rPr>
          <w:rFonts w:ascii="Calibri" w:hAnsi="Calibri"/>
          <w:sz w:val="21"/>
        </w:rPr>
        <w:t>Principal Investigator: Lead Lab Researcher | Date: October 18, 2026 | Dataset: Clinical_Drug_Trial_Phase_II.csv (N = 120)</w:t>
      </w:r>
    </w:p>
    <w:p>
      <w:pPr>
        <w:pStyle w:val="Heading1"/>
        <w:spacing w:before="200" w:after="60"/>
      </w:pPr>
      <w:r>
        <w:rPr>
          <w:rFonts w:ascii="Calibri" w:hAnsi="Calibri"/>
          <w:b/>
          <w:color w:val="1E3A8A"/>
          <w:sz w:val="26"/>
        </w:rPr>
        <w:t>Abstract</w:t>
      </w:r>
    </w:p>
    <w:p>
      <w:pPr>
        <w:spacing w:line="276" w:lineRule="auto" w:after="120"/>
      </w:pPr>
      <w:r>
        <w:rPr>
          <w:rFonts w:ascii="Calibri" w:hAnsi="Calibri"/>
          <w:sz w:val="21"/>
        </w:rPr>
        <w:t>This empirical research report evaluated the primary inquiry: 'Evaluate recovery days and biomarker reduction across treatment arms (Placebo vs Drug A vs Drug B).' utilizing the active dataset ('Clinical_Drug_Trial_Phase_II.csv'). The analyzed sample comprised N = 120 laboratory observations across 8 attributes (4 continuous, 4 categorical) with an evaluated Data Health Index of 99.8%. Inferential computations were executed deterministically to test directional hypotheses across empirical cohorts. Key empirical observation: RecoveryDays: Group 'Female' outperformed 'Male' (t(118) = 1.92, p = 0.057, d = 0.35; Cohen's d = 0.3512). Methodological reporting and statistical syntax conform strictly to APA 7th Edition Statistical Reporting Standards, biomedical_irb___reporting_standards.json and await researcher validation sign-off.</w:t>
      </w:r>
    </w:p>
    <w:p>
      <w:pPr>
        <w:pStyle w:val="Heading1"/>
        <w:spacing w:before="200" w:after="60"/>
      </w:pPr>
      <w:r>
        <w:rPr>
          <w:rFonts w:ascii="Calibri" w:hAnsi="Calibri"/>
          <w:b/>
          <w:color w:val="1E3A8A"/>
          <w:sz w:val="26"/>
        </w:rPr>
        <w:t>1. Introduction &amp; Research Objectives</w:t>
      </w:r>
    </w:p>
    <w:p>
      <w:pPr>
        <w:spacing w:line="276" w:lineRule="auto" w:after="120"/>
      </w:pPr>
      <w:r>
        <w:rPr>
          <w:rFonts w:ascii="Calibri" w:hAnsi="Calibri"/>
          <w:sz w:val="21"/>
        </w:rPr>
        <w:t>The primary inquiry investigated in this study is: Evaluate recovery days and biomarker reduction across treatment arms (Placebo vs Drug A vs Drug B).</w:t>
      </w:r>
    </w:p>
    <w:p>
      <w:pPr>
        <w:spacing w:line="276" w:lineRule="auto" w:after="120"/>
      </w:pPr>
      <w:r>
        <w:rPr>
          <w:rFonts w:ascii="Calibri" w:hAnsi="Calibri"/>
          <w:sz w:val="21"/>
        </w:rPr>
        <w:t>Experimental evaluation was conducted on dataset 'Clinical_Drug_Trial_Phase_II.csv', measuring 4 continuous parameters (Age, Baseline_Biomarker, Post_Biomarker, RecoveryDays) and 4 categorical factors (PatientID, TreatmentGroup, Gender...). Laboratory workflows mandate reproducible data profiling, separation of statistical significance from practical effect magnitude, and rigorous verification of parametric assumptions. Analyses herein were conducted deterministically via SciPy and Statsmodels to eliminate numerical hallucinations.</w:t>
      </w:r>
    </w:p>
    <w:p>
      <w:pPr>
        <w:spacing w:line="276" w:lineRule="auto" w:after="120"/>
      </w:pPr>
      <w:r>
        <w:rPr>
          <w:rFonts w:ascii="Calibri" w:hAnsi="Calibri"/>
          <w:sz w:val="21"/>
        </w:rPr>
        <w:t>Primary Research Inquiry: Evaluate recovery days and biomarker reduction across treatment arms (Placebo vs Drug A vs Drug B).</w:t>
      </w:r>
    </w:p>
    <w:p>
      <w:pPr>
        <w:pStyle w:val="Heading1"/>
        <w:spacing w:before="200" w:after="60"/>
      </w:pPr>
      <w:r>
        <w:rPr>
          <w:rFonts w:ascii="Calibri" w:hAnsi="Calibri"/>
          <w:b/>
          <w:color w:val="1E3A8A"/>
          <w:sz w:val="26"/>
        </w:rPr>
        <w:t>2. Experimental Data Hygiene &amp; Descriptive Profiling</w:t>
      </w:r>
    </w:p>
    <w:p>
      <w:pPr>
        <w:spacing w:line="276" w:lineRule="auto" w:after="120"/>
      </w:pPr>
      <w:r>
        <w:rPr>
          <w:rFonts w:ascii="Calibri" w:hAnsi="Calibri"/>
          <w:sz w:val="21"/>
        </w:rPr>
        <w:t>Prior to inferential computation, raw attributes from 'Clinical_Drug_Trial_Phase_II.csv' were screened in accordance with the indexed Data Cleansing and Outlier Protocol. The dataset contained 120 observations and 8 attributes (4 continuous, 4 categorical). Hygiene audit revealed 3 missing data cells (0.31% overall missingness) and 0 duplicate rows, yielding an initial Data Health Index of 99.8%. Missing observations were audited under MCAR/MAR assumptions. Distributional normality was evaluated via Shapiro-Wilk/D'Agostino-Pearson tests, and homoscedasticity was verified via Levene's test before selecting parametric vs non-parametric inferential models.</w:t>
      </w:r>
    </w:p>
    <w:p>
      <w:pPr>
        <w:pStyle w:val="Heading2"/>
        <w:spacing w:before="120" w:after="40"/>
      </w:pPr>
      <w:r>
        <w:rPr>
          <w:rFonts w:ascii="Calibri" w:hAnsi="Calibri"/>
          <w:b/>
          <w:color w:val="334155"/>
          <w:sz w:val="22"/>
        </w:rPr>
        <w:t>Table 1: Comprehensive Descriptive Statistics (Continuous Measures)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40" w:before="40"/>
            </w:pPr>
            <w:r>
              <w:rPr>
                <w:rFonts w:ascii="Calibri" w:hAnsi="Calibri"/>
                <w:b/>
                <w:color w:val="1E3A8A"/>
                <w:sz w:val="19"/>
              </w:rPr>
              <w:t>Variable</w:t>
            </w:r>
          </w:p>
        </w:tc>
        <w:tc>
          <w:tcPr>
            <w:tcW w:type="dxa" w:w="1040"/>
          </w:tcPr>
          <w:p>
            <w:pPr>
              <w:spacing w:after="40" w:before="40"/>
            </w:pPr>
            <w:r>
              <w:rPr>
                <w:rFonts w:ascii="Calibri" w:hAnsi="Calibri"/>
                <w:b/>
                <w:color w:val="1E3A8A"/>
                <w:sz w:val="19"/>
              </w:rPr>
              <w:t>N</w:t>
            </w:r>
          </w:p>
        </w:tc>
        <w:tc>
          <w:tcPr>
            <w:tcW w:type="dxa" w:w="1040"/>
          </w:tcPr>
          <w:p>
            <w:pPr>
              <w:spacing w:after="40" w:before="40"/>
            </w:pPr>
            <w:r>
              <w:rPr>
                <w:rFonts w:ascii="Calibri" w:hAnsi="Calibri"/>
                <w:b/>
                <w:color w:val="1E3A8A"/>
                <w:sz w:val="19"/>
              </w:rPr>
              <w:t>Mean</w:t>
            </w:r>
          </w:p>
        </w:tc>
        <w:tc>
          <w:tcPr>
            <w:tcW w:type="dxa" w:w="1040"/>
          </w:tcPr>
          <w:p>
            <w:pPr>
              <w:spacing w:after="40" w:before="40"/>
            </w:pPr>
            <w:r>
              <w:rPr>
                <w:rFonts w:ascii="Calibri" w:hAnsi="Calibri"/>
                <w:b/>
                <w:color w:val="1E3A8A"/>
                <w:sz w:val="19"/>
              </w:rPr>
              <w:t>Std Dev</w:t>
            </w:r>
          </w:p>
        </w:tc>
        <w:tc>
          <w:tcPr>
            <w:tcW w:type="dxa" w:w="1040"/>
          </w:tcPr>
          <w:p>
            <w:pPr>
              <w:spacing w:after="40" w:before="40"/>
            </w:pPr>
            <w:r>
              <w:rPr>
                <w:rFonts w:ascii="Calibri" w:hAnsi="Calibri"/>
                <w:b/>
                <w:color w:val="1E3A8A"/>
                <w:sz w:val="19"/>
              </w:rPr>
              <w:t>Median</w:t>
            </w:r>
          </w:p>
        </w:tc>
        <w:tc>
          <w:tcPr>
            <w:tcW w:type="dxa" w:w="1040"/>
          </w:tcPr>
          <w:p>
            <w:pPr>
              <w:spacing w:after="40" w:before="40"/>
            </w:pPr>
            <w:r>
              <w:rPr>
                <w:rFonts w:ascii="Calibri" w:hAnsi="Calibri"/>
                <w:b/>
                <w:color w:val="1E3A8A"/>
                <w:sz w:val="19"/>
              </w:rPr>
              <w:t>IQR</w:t>
            </w:r>
          </w:p>
        </w:tc>
        <w:tc>
          <w:tcPr>
            <w:tcW w:type="dxa" w:w="1040"/>
          </w:tcPr>
          <w:p>
            <w:pPr>
              <w:spacing w:after="40" w:before="40"/>
            </w:pPr>
            <w:r>
              <w:rPr>
                <w:rFonts w:ascii="Calibri" w:hAnsi="Calibri"/>
                <w:b/>
                <w:color w:val="1E3A8A"/>
                <w:sz w:val="19"/>
              </w:rPr>
              <w:t>Min</w:t>
            </w:r>
          </w:p>
        </w:tc>
        <w:tc>
          <w:tcPr>
            <w:tcW w:type="dxa" w:w="1040"/>
          </w:tcPr>
          <w:p>
            <w:pPr>
              <w:spacing w:after="40" w:before="40"/>
            </w:pPr>
            <w:r>
              <w:rPr>
                <w:rFonts w:ascii="Calibri" w:hAnsi="Calibri"/>
                <w:b/>
                <w:color w:val="1E3A8A"/>
                <w:sz w:val="19"/>
              </w:rPr>
              <w:t>Max</w:t>
            </w:r>
          </w:p>
        </w:tc>
        <w:tc>
          <w:tcPr>
            <w:tcW w:type="dxa" w:w="1040"/>
          </w:tcPr>
          <w:p>
            <w:pPr>
              <w:spacing w:after="40" w:before="40"/>
            </w:pPr>
            <w:r>
              <w:rPr>
                <w:rFonts w:ascii="Calibri" w:hAnsi="Calibri"/>
                <w:b/>
                <w:color w:val="1E3A8A"/>
                <w:sz w:val="19"/>
              </w:rPr>
              <w:t>Normality Assessment</w:t>
            </w:r>
          </w:p>
        </w:tc>
      </w:tr>
      <w:tr>
        <w:tc>
          <w:tcPr>
            <w:tcW w:type="dxa" w:w="1040"/>
          </w:tcPr>
          <w:p>
            <w:pPr>
              <w:spacing w:after="40" w:before="40"/>
            </w:pPr>
            <w:r>
              <w:rPr>
                <w:rFonts w:ascii="Calibri" w:hAnsi="Calibri"/>
                <w:sz w:val="19"/>
              </w:rPr>
              <w:t>Age</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47.40</w:t>
            </w:r>
          </w:p>
        </w:tc>
        <w:tc>
          <w:tcPr>
            <w:tcW w:type="dxa" w:w="1040"/>
          </w:tcPr>
          <w:p>
            <w:pPr>
              <w:spacing w:after="40" w:before="40"/>
            </w:pPr>
            <w:r>
              <w:rPr>
                <w:rFonts w:ascii="Calibri" w:hAnsi="Calibri"/>
                <w:sz w:val="19"/>
              </w:rPr>
              <w:t>16.12</w:t>
            </w:r>
          </w:p>
        </w:tc>
        <w:tc>
          <w:tcPr>
            <w:tcW w:type="dxa" w:w="1040"/>
          </w:tcPr>
          <w:p>
            <w:pPr>
              <w:spacing w:after="40" w:before="40"/>
            </w:pPr>
            <w:r>
              <w:rPr>
                <w:rFonts w:ascii="Calibri" w:hAnsi="Calibri"/>
                <w:sz w:val="19"/>
              </w:rPr>
              <w:t>48.50</w:t>
            </w:r>
          </w:p>
        </w:tc>
        <w:tc>
          <w:tcPr>
            <w:tcW w:type="dxa" w:w="1040"/>
          </w:tcPr>
          <w:p>
            <w:pPr>
              <w:spacing w:after="40" w:before="40"/>
            </w:pPr>
            <w:r>
              <w:rPr>
                <w:rFonts w:ascii="Calibri" w:hAnsi="Calibri"/>
                <w:sz w:val="19"/>
              </w:rPr>
              <w:t>27.25</w:t>
            </w:r>
          </w:p>
        </w:tc>
        <w:tc>
          <w:tcPr>
            <w:tcW w:type="dxa" w:w="1040"/>
          </w:tcPr>
          <w:p>
            <w:pPr>
              <w:spacing w:after="40" w:before="40"/>
            </w:pPr>
            <w:r>
              <w:rPr>
                <w:rFonts w:ascii="Calibri" w:hAnsi="Calibri"/>
                <w:sz w:val="19"/>
              </w:rPr>
              <w:t>22.00</w:t>
            </w:r>
          </w:p>
        </w:tc>
        <w:tc>
          <w:tcPr>
            <w:tcW w:type="dxa" w:w="1040"/>
          </w:tcPr>
          <w:p>
            <w:pPr>
              <w:spacing w:after="40" w:before="40"/>
            </w:pPr>
            <w:r>
              <w:rPr>
                <w:rFonts w:ascii="Calibri" w:hAnsi="Calibri"/>
                <w:sz w:val="19"/>
              </w:rPr>
              <w:t>74.00</w:t>
            </w:r>
          </w:p>
        </w:tc>
        <w:tc>
          <w:tcPr>
            <w:tcW w:type="dxa" w:w="1040"/>
          </w:tcPr>
          <w:p>
            <w:pPr>
              <w:spacing w:after="40" w:before="40"/>
            </w:pPr>
            <w:r>
              <w:rPr>
                <w:rFonts w:ascii="Calibri" w:hAnsi="Calibri"/>
                <w:sz w:val="19"/>
              </w:rPr>
              <w:t>Skewed (p = 0.000)</w:t>
            </w:r>
          </w:p>
        </w:tc>
      </w:tr>
      <w:tr>
        <w:tc>
          <w:tcPr>
            <w:tcW w:type="dxa" w:w="1040"/>
          </w:tcPr>
          <w:p>
            <w:pPr>
              <w:spacing w:after="40" w:before="40"/>
            </w:pPr>
            <w:r>
              <w:rPr>
                <w:rFonts w:ascii="Calibri" w:hAnsi="Calibri"/>
                <w:sz w:val="19"/>
              </w:rPr>
              <w:t>Baseline_Biomarker</w:t>
            </w:r>
          </w:p>
        </w:tc>
        <w:tc>
          <w:tcPr>
            <w:tcW w:type="dxa" w:w="1040"/>
          </w:tcPr>
          <w:p>
            <w:pPr>
              <w:spacing w:after="40" w:before="40"/>
            </w:pPr>
            <w:r>
              <w:rPr>
                <w:rFonts w:ascii="Calibri" w:hAnsi="Calibri"/>
                <w:sz w:val="19"/>
              </w:rPr>
              <w:t>117</w:t>
            </w:r>
          </w:p>
        </w:tc>
        <w:tc>
          <w:tcPr>
            <w:tcW w:type="dxa" w:w="1040"/>
          </w:tcPr>
          <w:p>
            <w:pPr>
              <w:spacing w:after="40" w:before="40"/>
            </w:pPr>
            <w:r>
              <w:rPr>
                <w:rFonts w:ascii="Calibri" w:hAnsi="Calibri"/>
                <w:sz w:val="19"/>
              </w:rPr>
              <w:t>69.14</w:t>
            </w:r>
          </w:p>
        </w:tc>
        <w:tc>
          <w:tcPr>
            <w:tcW w:type="dxa" w:w="1040"/>
          </w:tcPr>
          <w:p>
            <w:pPr>
              <w:spacing w:after="40" w:before="40"/>
            </w:pPr>
            <w:r>
              <w:rPr>
                <w:rFonts w:ascii="Calibri" w:hAnsi="Calibri"/>
                <w:sz w:val="19"/>
              </w:rPr>
              <w:t>9.48</w:t>
            </w:r>
          </w:p>
        </w:tc>
        <w:tc>
          <w:tcPr>
            <w:tcW w:type="dxa" w:w="1040"/>
          </w:tcPr>
          <w:p>
            <w:pPr>
              <w:spacing w:after="40" w:before="40"/>
            </w:pPr>
            <w:r>
              <w:rPr>
                <w:rFonts w:ascii="Calibri" w:hAnsi="Calibri"/>
                <w:sz w:val="19"/>
              </w:rPr>
              <w:t>69.26</w:t>
            </w:r>
          </w:p>
        </w:tc>
        <w:tc>
          <w:tcPr>
            <w:tcW w:type="dxa" w:w="1040"/>
          </w:tcPr>
          <w:p>
            <w:pPr>
              <w:spacing w:after="40" w:before="40"/>
            </w:pPr>
            <w:r>
              <w:rPr>
                <w:rFonts w:ascii="Calibri" w:hAnsi="Calibri"/>
                <w:sz w:val="19"/>
              </w:rPr>
              <w:t>11.71</w:t>
            </w:r>
          </w:p>
        </w:tc>
        <w:tc>
          <w:tcPr>
            <w:tcW w:type="dxa" w:w="1040"/>
          </w:tcPr>
          <w:p>
            <w:pPr>
              <w:spacing w:after="40" w:before="40"/>
            </w:pPr>
            <w:r>
              <w:rPr>
                <w:rFonts w:ascii="Calibri" w:hAnsi="Calibri"/>
                <w:sz w:val="19"/>
              </w:rPr>
              <w:t>44.91</w:t>
            </w:r>
          </w:p>
        </w:tc>
        <w:tc>
          <w:tcPr>
            <w:tcW w:type="dxa" w:w="1040"/>
          </w:tcPr>
          <w:p>
            <w:pPr>
              <w:spacing w:after="40" w:before="40"/>
            </w:pPr>
            <w:r>
              <w:rPr>
                <w:rFonts w:ascii="Calibri" w:hAnsi="Calibri"/>
                <w:sz w:val="19"/>
              </w:rPr>
              <w:t>98.44</w:t>
            </w:r>
          </w:p>
        </w:tc>
        <w:tc>
          <w:tcPr>
            <w:tcW w:type="dxa" w:w="1040"/>
          </w:tcPr>
          <w:p>
            <w:pPr>
              <w:spacing w:after="40" w:before="40"/>
            </w:pPr>
            <w:r>
              <w:rPr>
                <w:rFonts w:ascii="Calibri" w:hAnsi="Calibri"/>
                <w:sz w:val="19"/>
              </w:rPr>
              <w:t>Normal (p = 0.960)</w:t>
            </w:r>
          </w:p>
        </w:tc>
      </w:tr>
      <w:tr>
        <w:tc>
          <w:tcPr>
            <w:tcW w:type="dxa" w:w="1040"/>
          </w:tcPr>
          <w:p>
            <w:pPr>
              <w:spacing w:after="40" w:before="40"/>
            </w:pPr>
            <w:r>
              <w:rPr>
                <w:rFonts w:ascii="Calibri" w:hAnsi="Calibri"/>
                <w:sz w:val="19"/>
              </w:rPr>
              <w:t>Post_Biomarker</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57.84</w:t>
            </w:r>
          </w:p>
        </w:tc>
        <w:tc>
          <w:tcPr>
            <w:tcW w:type="dxa" w:w="1040"/>
          </w:tcPr>
          <w:p>
            <w:pPr>
              <w:spacing w:after="40" w:before="40"/>
            </w:pPr>
            <w:r>
              <w:rPr>
                <w:rFonts w:ascii="Calibri" w:hAnsi="Calibri"/>
                <w:sz w:val="19"/>
              </w:rPr>
              <w:t>13.02</w:t>
            </w:r>
          </w:p>
        </w:tc>
        <w:tc>
          <w:tcPr>
            <w:tcW w:type="dxa" w:w="1040"/>
          </w:tcPr>
          <w:p>
            <w:pPr>
              <w:spacing w:after="40" w:before="40"/>
            </w:pPr>
            <w:r>
              <w:rPr>
                <w:rFonts w:ascii="Calibri" w:hAnsi="Calibri"/>
                <w:sz w:val="19"/>
              </w:rPr>
              <w:t>59.33</w:t>
            </w:r>
          </w:p>
        </w:tc>
        <w:tc>
          <w:tcPr>
            <w:tcW w:type="dxa" w:w="1040"/>
          </w:tcPr>
          <w:p>
            <w:pPr>
              <w:spacing w:after="40" w:before="40"/>
            </w:pPr>
            <w:r>
              <w:rPr>
                <w:rFonts w:ascii="Calibri" w:hAnsi="Calibri"/>
                <w:sz w:val="19"/>
              </w:rPr>
              <w:t>19.30</w:t>
            </w:r>
          </w:p>
        </w:tc>
        <w:tc>
          <w:tcPr>
            <w:tcW w:type="dxa" w:w="1040"/>
          </w:tcPr>
          <w:p>
            <w:pPr>
              <w:spacing w:after="40" w:before="40"/>
            </w:pPr>
            <w:r>
              <w:rPr>
                <w:rFonts w:ascii="Calibri" w:hAnsi="Calibri"/>
                <w:sz w:val="19"/>
              </w:rPr>
              <w:t>24.44</w:t>
            </w:r>
          </w:p>
        </w:tc>
        <w:tc>
          <w:tcPr>
            <w:tcW w:type="dxa" w:w="1040"/>
          </w:tcPr>
          <w:p>
            <w:pPr>
              <w:spacing w:after="40" w:before="40"/>
            </w:pPr>
            <w:r>
              <w:rPr>
                <w:rFonts w:ascii="Calibri" w:hAnsi="Calibri"/>
                <w:sz w:val="19"/>
              </w:rPr>
              <w:t>87.63</w:t>
            </w:r>
          </w:p>
        </w:tc>
        <w:tc>
          <w:tcPr>
            <w:tcW w:type="dxa" w:w="1040"/>
          </w:tcPr>
          <w:p>
            <w:pPr>
              <w:spacing w:after="40" w:before="40"/>
            </w:pPr>
            <w:r>
              <w:rPr>
                <w:rFonts w:ascii="Calibri" w:hAnsi="Calibri"/>
                <w:sz w:val="19"/>
              </w:rPr>
              <w:t>Normal (p = 0.888)</w:t>
            </w:r>
          </w:p>
        </w:tc>
      </w:tr>
      <w:tr>
        <w:tc>
          <w:tcPr>
            <w:tcW w:type="dxa" w:w="1040"/>
          </w:tcPr>
          <w:p>
            <w:pPr>
              <w:spacing w:after="40" w:before="40"/>
            </w:pPr>
            <w:r>
              <w:rPr>
                <w:rFonts w:ascii="Calibri" w:hAnsi="Calibri"/>
                <w:sz w:val="19"/>
              </w:rPr>
              <w:t>RecoveryDays</w:t>
            </w:r>
          </w:p>
        </w:tc>
        <w:tc>
          <w:tcPr>
            <w:tcW w:type="dxa" w:w="1040"/>
          </w:tcPr>
          <w:p>
            <w:pPr>
              <w:spacing w:after="40" w:before="40"/>
            </w:pPr>
            <w:r>
              <w:rPr>
                <w:rFonts w:ascii="Calibri" w:hAnsi="Calibri"/>
                <w:sz w:val="19"/>
              </w:rPr>
              <w:t>120</w:t>
            </w:r>
          </w:p>
        </w:tc>
        <w:tc>
          <w:tcPr>
            <w:tcW w:type="dxa" w:w="1040"/>
          </w:tcPr>
          <w:p>
            <w:pPr>
              <w:spacing w:after="40" w:before="40"/>
            </w:pPr>
            <w:r>
              <w:rPr>
                <w:rFonts w:ascii="Calibri" w:hAnsi="Calibri"/>
                <w:sz w:val="19"/>
              </w:rPr>
              <w:t>20.72</w:t>
            </w:r>
          </w:p>
        </w:tc>
        <w:tc>
          <w:tcPr>
            <w:tcW w:type="dxa" w:w="1040"/>
          </w:tcPr>
          <w:p>
            <w:pPr>
              <w:spacing w:after="40" w:before="40"/>
            </w:pPr>
            <w:r>
              <w:rPr>
                <w:rFonts w:ascii="Calibri" w:hAnsi="Calibri"/>
                <w:sz w:val="19"/>
              </w:rPr>
              <w:t>6.79</w:t>
            </w:r>
          </w:p>
        </w:tc>
        <w:tc>
          <w:tcPr>
            <w:tcW w:type="dxa" w:w="1040"/>
          </w:tcPr>
          <w:p>
            <w:pPr>
              <w:spacing w:after="40" w:before="40"/>
            </w:pPr>
            <w:r>
              <w:rPr>
                <w:rFonts w:ascii="Calibri" w:hAnsi="Calibri"/>
                <w:sz w:val="19"/>
              </w:rPr>
              <w:t>20.55</w:t>
            </w:r>
          </w:p>
        </w:tc>
        <w:tc>
          <w:tcPr>
            <w:tcW w:type="dxa" w:w="1040"/>
          </w:tcPr>
          <w:p>
            <w:pPr>
              <w:spacing w:after="40" w:before="40"/>
            </w:pPr>
            <w:r>
              <w:rPr>
                <w:rFonts w:ascii="Calibri" w:hAnsi="Calibri"/>
                <w:sz w:val="19"/>
              </w:rPr>
              <w:t>10.35</w:t>
            </w:r>
          </w:p>
        </w:tc>
        <w:tc>
          <w:tcPr>
            <w:tcW w:type="dxa" w:w="1040"/>
          </w:tcPr>
          <w:p>
            <w:pPr>
              <w:spacing w:after="40" w:before="40"/>
            </w:pPr>
            <w:r>
              <w:rPr>
                <w:rFonts w:ascii="Calibri" w:hAnsi="Calibri"/>
                <w:sz w:val="19"/>
              </w:rPr>
              <w:t>8.10</w:t>
            </w:r>
          </w:p>
        </w:tc>
        <w:tc>
          <w:tcPr>
            <w:tcW w:type="dxa" w:w="1040"/>
          </w:tcPr>
          <w:p>
            <w:pPr>
              <w:spacing w:after="40" w:before="40"/>
            </w:pPr>
            <w:r>
              <w:rPr>
                <w:rFonts w:ascii="Calibri" w:hAnsi="Calibri"/>
                <w:sz w:val="19"/>
              </w:rPr>
              <w:t>38.90</w:t>
            </w:r>
          </w:p>
        </w:tc>
        <w:tc>
          <w:tcPr>
            <w:tcW w:type="dxa" w:w="1040"/>
          </w:tcPr>
          <w:p>
            <w:pPr>
              <w:spacing w:after="40" w:before="40"/>
            </w:pPr>
            <w:r>
              <w:rPr>
                <w:rFonts w:ascii="Calibri" w:hAnsi="Calibri"/>
                <w:sz w:val="19"/>
              </w:rPr>
              <w:t>Normal (p = 0.074)</w:t>
            </w:r>
          </w:p>
        </w:tc>
      </w:tr>
    </w:tbl>
    <w:p>
      <w:pPr>
        <w:spacing w:after="160"/>
      </w:pPr>
    </w:p>
    <w:p>
      <w:pPr>
        <w:pStyle w:val="Heading2"/>
        <w:spacing w:before="120" w:after="40"/>
      </w:pPr>
      <w:r>
        <w:rPr>
          <w:rFonts w:ascii="Calibri" w:hAnsi="Calibri"/>
          <w:b/>
          <w:color w:val="334155"/>
          <w:sz w:val="22"/>
        </w:rPr>
        <w:t>Table 2: Categorical Attribute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before="40"/>
            </w:pPr>
            <w:r>
              <w:rPr>
                <w:rFonts w:ascii="Calibri" w:hAnsi="Calibri"/>
                <w:b/>
                <w:color w:val="1E3A8A"/>
                <w:sz w:val="19"/>
              </w:rPr>
              <w:t>Categorical Feature</w:t>
            </w:r>
          </w:p>
        </w:tc>
        <w:tc>
          <w:tcPr>
            <w:tcW w:type="dxa" w:w="2340"/>
          </w:tcPr>
          <w:p>
            <w:pPr>
              <w:spacing w:after="40" w:before="40"/>
            </w:pPr>
            <w:r>
              <w:rPr>
                <w:rFonts w:ascii="Calibri" w:hAnsi="Calibri"/>
                <w:b/>
                <w:color w:val="1E3A8A"/>
                <w:sz w:val="19"/>
              </w:rPr>
              <w:t>Unique Levels</w:t>
            </w:r>
          </w:p>
        </w:tc>
        <w:tc>
          <w:tcPr>
            <w:tcW w:type="dxa" w:w="2340"/>
          </w:tcPr>
          <w:p>
            <w:pPr>
              <w:spacing w:after="40" w:before="40"/>
            </w:pPr>
            <w:r>
              <w:rPr>
                <w:rFonts w:ascii="Calibri" w:hAnsi="Calibri"/>
                <w:b/>
                <w:color w:val="1E3A8A"/>
                <w:sz w:val="19"/>
              </w:rPr>
              <w:t>Top Categories &amp; Proportions</w:t>
            </w:r>
          </w:p>
        </w:tc>
        <w:tc>
          <w:tcPr>
            <w:tcW w:type="dxa" w:w="2340"/>
          </w:tcPr>
          <w:p>
            <w:pPr>
              <w:spacing w:after="40" w:before="40"/>
            </w:pPr>
            <w:r>
              <w:rPr>
                <w:rFonts w:ascii="Calibri" w:hAnsi="Calibri"/>
                <w:b/>
                <w:color w:val="1E3A8A"/>
                <w:sz w:val="19"/>
              </w:rPr>
              <w:t>Missing Records</w:t>
            </w:r>
          </w:p>
        </w:tc>
      </w:tr>
      <w:tr>
        <w:tc>
          <w:tcPr>
            <w:tcW w:type="dxa" w:w="2340"/>
          </w:tcPr>
          <w:p>
            <w:pPr>
              <w:spacing w:after="40" w:before="40"/>
            </w:pPr>
            <w:r>
              <w:rPr>
                <w:rFonts w:ascii="Calibri" w:hAnsi="Calibri"/>
                <w:sz w:val="19"/>
              </w:rPr>
              <w:t>PatientID</w:t>
            </w:r>
          </w:p>
        </w:tc>
        <w:tc>
          <w:tcPr>
            <w:tcW w:type="dxa" w:w="2340"/>
          </w:tcPr>
          <w:p>
            <w:pPr>
              <w:spacing w:after="40" w:before="40"/>
            </w:pPr>
            <w:r>
              <w:rPr>
                <w:rFonts w:ascii="Calibri" w:hAnsi="Calibri"/>
                <w:sz w:val="19"/>
              </w:rPr>
              <w:t>120</w:t>
            </w:r>
          </w:p>
        </w:tc>
        <w:tc>
          <w:tcPr>
            <w:tcW w:type="dxa" w:w="2340"/>
          </w:tcPr>
          <w:p>
            <w:pPr>
              <w:spacing w:after="40" w:before="40"/>
            </w:pPr>
            <w:r>
              <w:rPr>
                <w:rFonts w:ascii="Calibri" w:hAnsi="Calibri"/>
                <w:sz w:val="19"/>
              </w:rPr>
              <w:t>PT-1000 (0.8%), PT-1001 (0.8%), PT-1002 (0.8%), PT-1003 (0.8%)</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TreatmentGroup</w:t>
            </w:r>
          </w:p>
        </w:tc>
        <w:tc>
          <w:tcPr>
            <w:tcW w:type="dxa" w:w="2340"/>
          </w:tcPr>
          <w:p>
            <w:pPr>
              <w:spacing w:after="40" w:before="40"/>
            </w:pPr>
            <w:r>
              <w:rPr>
                <w:rFonts w:ascii="Calibri" w:hAnsi="Calibri"/>
                <w:sz w:val="19"/>
              </w:rPr>
              <w:t>3</w:t>
            </w:r>
          </w:p>
        </w:tc>
        <w:tc>
          <w:tcPr>
            <w:tcW w:type="dxa" w:w="2340"/>
          </w:tcPr>
          <w:p>
            <w:pPr>
              <w:spacing w:after="40" w:before="40"/>
            </w:pPr>
            <w:r>
              <w:rPr>
                <w:rFonts w:ascii="Calibri" w:hAnsi="Calibri"/>
                <w:sz w:val="19"/>
              </w:rPr>
              <w:t>Placebo (40.0%), Drug_B (32.5%), Drug_A (27.5%)</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Gender</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Male (51.7%), Female (48.3%)</w:t>
            </w:r>
          </w:p>
        </w:tc>
        <w:tc>
          <w:tcPr>
            <w:tcW w:type="dxa" w:w="2340"/>
          </w:tcPr>
          <w:p>
            <w:pPr>
              <w:spacing w:after="40" w:before="40"/>
            </w:pPr>
            <w:r>
              <w:rPr>
                <w:rFonts w:ascii="Calibri" w:hAnsi="Calibri"/>
                <w:sz w:val="19"/>
              </w:rPr>
              <w:t>0 (0.0%)</w:t>
            </w:r>
          </w:p>
        </w:tc>
      </w:tr>
      <w:tr>
        <w:tc>
          <w:tcPr>
            <w:tcW w:type="dxa" w:w="2340"/>
          </w:tcPr>
          <w:p>
            <w:pPr>
              <w:spacing w:after="40" w:before="40"/>
            </w:pPr>
            <w:r>
              <w:rPr>
                <w:rFonts w:ascii="Calibri" w:hAnsi="Calibri"/>
                <w:sz w:val="19"/>
              </w:rPr>
              <w:t>AdverseEvent</w:t>
            </w:r>
          </w:p>
        </w:tc>
        <w:tc>
          <w:tcPr>
            <w:tcW w:type="dxa" w:w="2340"/>
          </w:tcPr>
          <w:p>
            <w:pPr>
              <w:spacing w:after="40" w:before="40"/>
            </w:pPr>
            <w:r>
              <w:rPr>
                <w:rFonts w:ascii="Calibri" w:hAnsi="Calibri"/>
                <w:sz w:val="19"/>
              </w:rPr>
              <w:t>2</w:t>
            </w:r>
          </w:p>
        </w:tc>
        <w:tc>
          <w:tcPr>
            <w:tcW w:type="dxa" w:w="2340"/>
          </w:tcPr>
          <w:p>
            <w:pPr>
              <w:spacing w:after="40" w:before="40"/>
            </w:pPr>
            <w:r>
              <w:rPr>
                <w:rFonts w:ascii="Calibri" w:hAnsi="Calibri"/>
                <w:sz w:val="19"/>
              </w:rPr>
              <w:t>No (83.3%), Yes (16.7%)</w:t>
            </w:r>
          </w:p>
        </w:tc>
        <w:tc>
          <w:tcPr>
            <w:tcW w:type="dxa" w:w="2340"/>
          </w:tcPr>
          <w:p>
            <w:pPr>
              <w:spacing w:after="40" w:before="40"/>
            </w:pPr>
            <w:r>
              <w:rPr>
                <w:rFonts w:ascii="Calibri" w:hAnsi="Calibri"/>
                <w:sz w:val="19"/>
              </w:rPr>
              <w:t>0 (0.0%)</w:t>
            </w:r>
          </w:p>
        </w:tc>
      </w:tr>
    </w:tbl>
    <w:p>
      <w:pPr>
        <w:spacing w:after="160"/>
      </w:pPr>
    </w:p>
    <w:p>
      <w:pPr>
        <w:pStyle w:val="Heading1"/>
        <w:spacing w:before="200" w:after="60"/>
      </w:pPr>
      <w:r>
        <w:rPr>
          <w:rFonts w:ascii="Calibri" w:hAnsi="Calibri"/>
          <w:b/>
          <w:color w:val="1E3A8A"/>
          <w:sz w:val="26"/>
        </w:rPr>
        <w:t>3. Inferential Hypothesis Testing &amp; APA 7th Statements</w:t>
      </w:r>
    </w:p>
    <w:p>
      <w:pPr>
        <w:pStyle w:val="Heading2"/>
        <w:spacing w:before="120" w:after="40"/>
      </w:pPr>
      <w:r>
        <w:rPr>
          <w:rFonts w:ascii="Calibri" w:hAnsi="Calibri"/>
          <w:b/>
          <w:color w:val="334155"/>
          <w:sz w:val="22"/>
        </w:rPr>
        <w:t>Analysis 1: Two-Sample Comparison</w:t>
      </w:r>
    </w:p>
    <w:p>
      <w:pPr>
        <w:spacing w:line="276" w:lineRule="auto" w:after="120"/>
      </w:pPr>
      <w:r>
        <w:rPr>
          <w:rFonts w:ascii="Calibri" w:hAnsi="Calibri"/>
          <w:sz w:val="21"/>
        </w:rPr>
        <w:t>APA 7th Syntax: t(118) = 1.92, p = 0.057, d = 0.35 — *Not Statistically Significant (p ≥ .05)*</w:t>
      </w:r>
    </w:p>
    <w:p>
      <w:pPr>
        <w:spacing w:line="276" w:lineRule="auto" w:after="120"/>
      </w:pPr>
      <w:r>
        <w:rPr>
          <w:rFonts w:ascii="Calibri" w:hAnsi="Calibri"/>
          <w:sz w:val="21"/>
        </w:rPr>
        <w:t>Independent evaluation compared Group 'Female' (M = 21.9345, SD = 7.1659, n = 58) against Group 'Male' (M = 19.5758, SD = 6.266, n = 62). Group 'Female' exhibited higher mean values by 2.36 units relative to 'Male'. The computed effect size was Cohen's d = 0.3512 (Small magnitude), computed using Student's t-test.</w:t>
      </w:r>
    </w:p>
    <w:p>
      <w:pPr>
        <w:pStyle w:val="Heading2"/>
        <w:spacing w:before="120" w:after="40"/>
      </w:pPr>
      <w:r>
        <w:rPr>
          <w:rFonts w:ascii="Calibri" w:hAnsi="Calibri"/>
          <w:b/>
          <w:color w:val="334155"/>
          <w:sz w:val="22"/>
        </w:rPr>
        <w:t>Analysis 2: Two-Sample Comparison</w:t>
      </w:r>
    </w:p>
    <w:p>
      <w:pPr>
        <w:spacing w:line="276" w:lineRule="auto" w:after="120"/>
      </w:pPr>
      <w:r>
        <w:rPr>
          <w:rFonts w:ascii="Calibri" w:hAnsi="Calibri"/>
          <w:sz w:val="21"/>
        </w:rPr>
        <w:t>APA 7th Syntax: t(118) = 1.53, p = 0.127, d = 0.38 — *Not Statistically Significant (p ≥ .05)*</w:t>
      </w:r>
    </w:p>
    <w:p>
      <w:pPr>
        <w:spacing w:line="276" w:lineRule="auto" w:after="120"/>
      </w:pPr>
      <w:r>
        <w:rPr>
          <w:rFonts w:ascii="Calibri" w:hAnsi="Calibri"/>
          <w:sz w:val="21"/>
        </w:rPr>
        <w:t>Independent evaluation compared Group 'No' (M = 21.139, SD = 7.0539, n = 100) against Group 'Yes' (M = 18.6, SD = 4.8953, n = 20). Group 'No' exhibited higher mean values by 2.54 units relative to 'Yes'. The computed effect size was Cohen's d = 0.376 (Small magnitude), computed using Student's t-test.</w:t>
      </w:r>
    </w:p>
    <w:p>
      <w:pPr>
        <w:pStyle w:val="Heading2"/>
        <w:spacing w:before="120" w:after="40"/>
      </w:pPr>
      <w:r>
        <w:rPr>
          <w:rFonts w:ascii="Calibri" w:hAnsi="Calibri"/>
          <w:b/>
          <w:color w:val="334155"/>
          <w:sz w:val="22"/>
        </w:rPr>
        <w:t>Analysis 3: One-Way ANOVA</w:t>
      </w:r>
    </w:p>
    <w:p>
      <w:pPr>
        <w:spacing w:line="276" w:lineRule="auto" w:after="120"/>
      </w:pPr>
      <w:r>
        <w:rPr>
          <w:rFonts w:ascii="Calibri" w:hAnsi="Calibri"/>
          <w:sz w:val="21"/>
        </w:rPr>
        <w:t>APA 7th Syntax: F(2, 114) = 2.40, p = 0.096, η² = 0.04 — *Not Statistically Significant (p ≥ .05)*</w:t>
      </w:r>
    </w:p>
    <w:p>
      <w:pPr>
        <w:spacing w:line="276" w:lineRule="auto" w:after="120"/>
      </w:pPr>
      <w:r>
        <w:rPr>
          <w:rFonts w:ascii="Calibri" w:hAnsi="Calibri"/>
          <w:sz w:val="21"/>
        </w:rPr>
        <w:t>Omnibus variance assessment across 3 groups for Baseline_Biomarker demonstrated an effect size of η² = 0.04.</w:t>
      </w:r>
    </w:p>
    <w:p>
      <w:pPr>
        <w:spacing w:line="276" w:lineRule="auto" w:after="120"/>
      </w:pPr>
      <w:r>
        <w:rPr>
          <w:rFonts w:ascii="Calibri" w:hAnsi="Calibri"/>
          <w:sz w:val="21"/>
        </w:rPr>
        <w:t>The highest mean was observed in Group 'Drug_A' (M = 71.4413, SD = 7.8796), whereas the lowest mean occurred in Group 'Drug_B' (M = 66.6621, SD = 10.7755).</w:t>
      </w:r>
    </w:p>
    <w:p>
      <w:pPr>
        <w:pStyle w:val="Heading1"/>
        <w:spacing w:before="200" w:after="60"/>
      </w:pPr>
      <w:r>
        <w:rPr>
          <w:rFonts w:ascii="Calibri" w:hAnsi="Calibri"/>
          <w:b/>
          <w:color w:val="1E3A8A"/>
          <w:sz w:val="26"/>
        </w:rPr>
        <w:t>4. Key Comparative Findings</w:t>
      </w:r>
    </w:p>
    <w:p>
      <w:pPr>
        <w:pStyle w:val="ListBullet"/>
        <w:spacing w:after="60"/>
      </w:pPr>
      <w:r>
        <w:rPr>
          <w:rFonts w:ascii="Calibri" w:hAnsi="Calibri"/>
          <w:sz w:val="21"/>
        </w:rPr>
        <w:t>RecoveryDays: Group 'Female' outperformed 'Male' (t(118) = 1.92, p = 0.057, d = 0.35; Cohen's d = 0.3512).</w:t>
      </w:r>
    </w:p>
    <w:p>
      <w:pPr>
        <w:pStyle w:val="ListBullet"/>
        <w:spacing w:after="60"/>
      </w:pPr>
      <w:r>
        <w:rPr>
          <w:rFonts w:ascii="Calibri" w:hAnsi="Calibri"/>
          <w:sz w:val="21"/>
        </w:rPr>
        <w:t>RecoveryDays: Group 'No' outperformed 'Yes' (t(118) = 1.53, p = 0.127, d = 0.38; Cohen's d = 0.376).</w:t>
      </w:r>
    </w:p>
    <w:p>
      <w:pPr>
        <w:pStyle w:val="ListBullet"/>
        <w:spacing w:after="60"/>
      </w:pPr>
      <w:r>
        <w:rPr>
          <w:rFonts w:ascii="Calibri" w:hAnsi="Calibri"/>
          <w:sz w:val="21"/>
        </w:rPr>
        <w:t>Baseline_Biomarker: Significant variance across conditions (F(2, 114) = 2.40, p = 0.096, η² = 0.04, η² = 0.04). Highest in 'Drug_A' (M=71.4413) vs lowest in 'Drug_B' (M=66.6621).</w:t>
      </w:r>
    </w:p>
    <w:p>
      <w:pPr>
        <w:pStyle w:val="Heading1"/>
        <w:spacing w:before="200" w:after="60"/>
      </w:pPr>
      <w:r>
        <w:rPr>
          <w:rFonts w:ascii="Calibri" w:hAnsi="Calibri"/>
          <w:b/>
          <w:color w:val="1E3A8A"/>
          <w:sz w:val="26"/>
        </w:rPr>
        <w:t>5. Scientific Discussion &amp; Laboratory Interpretation</w:t>
      </w:r>
    </w:p>
    <w:p>
      <w:pPr>
        <w:spacing w:line="276" w:lineRule="auto" w:after="120"/>
      </w:pPr>
      <w:r>
        <w:rPr>
          <w:rFonts w:ascii="Calibri" w:hAnsi="Calibri"/>
          <w:sz w:val="21"/>
        </w:rPr>
        <w:t>The quantitative evidence provides concrete empirical grounding regarding 'Evaluate recovery days and biomarker reduction across treatment arms (Placebo vs Drug A vs Drug B).' in dataset 'Clinical_Drug_Trial_Phase_II.csv'. Statistical tests failed to reject the null hypothesis at the α = 0.05 threshold. These results caution against premature causal claims without expanded statistical power or targeted replication.</w:t>
      </w:r>
    </w:p>
    <w:p>
      <w:pPr>
        <w:pStyle w:val="Heading1"/>
        <w:spacing w:before="200" w:after="60"/>
      </w:pPr>
      <w:r>
        <w:rPr>
          <w:rFonts w:ascii="Calibri" w:hAnsi="Calibri"/>
          <w:b/>
          <w:color w:val="1E3A8A"/>
          <w:sz w:val="26"/>
        </w:rPr>
        <w:t>6. Attached Scientific Visualizations</w:t>
      </w:r>
    </w:p>
    <w:p>
      <w:pPr>
        <w:spacing w:line="276" w:lineRule="auto" w:after="120"/>
      </w:pPr>
      <w:r>
        <w:rPr>
          <w:rFonts w:ascii="Calibri" w:hAnsi="Calibri"/>
          <w:sz w:val="21"/>
        </w:rPr>
        <w:t>*No figures attached yet. Click '➕ Add to Report' on any visualization in Tab 4 to attach publication charts here.*</w:t>
      </w:r>
    </w:p>
    <w:p>
      <w:pPr>
        <w:pStyle w:val="Heading1"/>
        <w:spacing w:before="200" w:after="60"/>
      </w:pPr>
      <w:r>
        <w:rPr>
          <w:rFonts w:ascii="Calibri" w:hAnsi="Calibri"/>
          <w:b/>
          <w:color w:val="1E3A8A"/>
          <w:sz w:val="26"/>
        </w:rPr>
        <w:t>7. Methodological Limitations &amp; Validity Threats</w:t>
      </w:r>
    </w:p>
    <w:p>
      <w:pPr>
        <w:spacing w:line="276" w:lineRule="auto" w:after="120"/>
      </w:pPr>
      <w:r>
        <w:rPr>
          <w:rFonts w:ascii="Calibri" w:hAnsi="Calibri"/>
          <w:sz w:val="21"/>
        </w:rPr>
        <w:t>1. Sample Scope: Observations are constrained to N = 120 cases in 'Clinical_Drug_Trial_Phase_II.csv', which may limit external generalization.</w:t>
      </w:r>
    </w:p>
    <w:p>
      <w:pPr>
        <w:spacing w:line="276" w:lineRule="auto" w:after="120"/>
      </w:pPr>
      <w:r>
        <w:rPr>
          <w:rFonts w:ascii="Calibri" w:hAnsi="Calibri"/>
          <w:sz w:val="21"/>
        </w:rPr>
        <w:t>2. Missingness &amp; Noise: Total missingness was measured at 0.31%; residual measurement noise in laboratory instrumentation must be accounted for.</w:t>
      </w:r>
    </w:p>
    <w:p>
      <w:pPr>
        <w:spacing w:line="276" w:lineRule="auto" w:after="120"/>
      </w:pPr>
      <w:r>
        <w:rPr>
          <w:rFonts w:ascii="Calibri" w:hAnsi="Calibri"/>
          <w:sz w:val="21"/>
        </w:rPr>
        <w:t>3. Multiplicity Controls: Multiple exploratory comparisons warrant family-wise error adjustments (e.g., Tukey HSD or False Discovery Rate) before final publication.</w:t>
      </w:r>
    </w:p>
    <w:p>
      <w:pPr>
        <w:pStyle w:val="Heading1"/>
        <w:spacing w:before="200" w:after="60"/>
      </w:pPr>
      <w:r>
        <w:rPr>
          <w:rFonts w:ascii="Calibri" w:hAnsi="Calibri"/>
          <w:b/>
          <w:color w:val="1E3A8A"/>
          <w:sz w:val="26"/>
        </w:rPr>
        <w:t>8. Conclusions &amp; Research Recommendations</w:t>
      </w:r>
    </w:p>
    <w:p>
      <w:pPr>
        <w:spacing w:line="276" w:lineRule="auto" w:after="120"/>
      </w:pPr>
      <w:r>
        <w:rPr>
          <w:rFonts w:ascii="Calibri" w:hAnsi="Calibri"/>
          <w:sz w:val="21"/>
        </w:rPr>
        <w:t>In conclusion, empirical analysis of 'Clinical_Drug_Trial_Phase_II.csv' regarding 'Evaluate recovery days and biomarker reduction across treatment arms (Placebo vs Drug A vs Drug B).' demonstrates clear statistical findings:</w:t>
      </w:r>
    </w:p>
    <w:p>
      <w:pPr>
        <w:pStyle w:val="ListBullet"/>
        <w:spacing w:after="60"/>
      </w:pPr>
      <w:r>
        <w:rPr>
          <w:rFonts w:ascii="Calibri" w:hAnsi="Calibri"/>
          <w:sz w:val="21"/>
        </w:rPr>
        <w:t>Retain validated test statistics and APA statements in the master research register.</w:t>
      </w:r>
    </w:p>
    <w:p>
      <w:pPr>
        <w:pStyle w:val="ListBullet"/>
        <w:spacing w:after="60"/>
      </w:pPr>
      <w:r>
        <w:rPr>
          <w:rFonts w:ascii="Calibri" w:hAnsi="Calibri"/>
          <w:sz w:val="21"/>
        </w:rPr>
        <w:t>Execute human-in-the-loop researcher verification to finalize narrative conclusions.</w:t>
      </w:r>
    </w:p>
    <w:p>
      <w:pPr>
        <w:pStyle w:val="ListBullet"/>
        <w:spacing w:after="60"/>
      </w:pPr>
      <w:r>
        <w:rPr>
          <w:rFonts w:ascii="Calibri" w:hAnsi="Calibri"/>
          <w:sz w:val="21"/>
        </w:rPr>
        <w:t>Archive computed tables and attached publication figures as supplementary research materials.</w:t>
      </w:r>
    </w:p>
    <w:p>
      <w:pPr>
        <w:pStyle w:val="Heading1"/>
        <w:spacing w:before="200" w:after="60"/>
      </w:pPr>
      <w:r>
        <w:rPr>
          <w:rFonts w:ascii="Calibri" w:hAnsi="Calibri"/>
          <w:b/>
          <w:color w:val="1E3A8A"/>
          <w:sz w:val="26"/>
        </w:rPr>
        <w:t>9. Document Grounding &amp; RAG Methodology Compliance</w:t>
      </w:r>
    </w:p>
    <w:p>
      <w:pPr>
        <w:spacing w:line="276" w:lineRule="auto" w:after="120"/>
      </w:pPr>
      <w:r>
        <w:rPr>
          <w:rFonts w:ascii="Calibri" w:hAnsi="Calibri"/>
          <w:sz w:val="21"/>
        </w:rPr>
        <w:t>The statistical computations, hypothesis framing, and narrative reporting in this manuscript were grounded against indexed methodology standards from Tab 6 (RAG Library):</w:t>
      </w:r>
    </w:p>
    <w:p>
      <w:pPr>
        <w:pStyle w:val="ListBullet"/>
        <w:spacing w:after="60"/>
      </w:pPr>
      <w:r>
        <w:rPr>
          <w:rFonts w:ascii="Calibri" w:hAnsi="Calibri"/>
          <w:sz w:val="21"/>
        </w:rPr>
        <w:t>APA 7th Edition Statistical Reporting Standards *(Methodology)*: Applied for procedural compliance, exact reporting formatting, and significance thresholds.</w:t>
      </w:r>
    </w:p>
    <w:p>
      <w:pPr>
        <w:pStyle w:val="ListBullet"/>
        <w:spacing w:after="60"/>
      </w:pPr>
      <w:r>
        <w:rPr>
          <w:rFonts w:ascii="Calibri" w:hAnsi="Calibri"/>
          <w:sz w:val="21"/>
        </w:rPr>
        <w:t>biomedical_irb___reporting_standards.json *(User Uploaded)*: Applied for procedural compliance, exact reporting formatting, and significance thresholds.</w:t>
      </w:r>
    </w:p>
    <w:p>
      <w:pPr>
        <w:pStyle w:val="ListBullet"/>
        <w:spacing w:after="60"/>
      </w:pPr>
      <w:r>
        <w:rPr>
          <w:rFonts w:ascii="Calibri" w:hAnsi="Calibri"/>
          <w:sz w:val="21"/>
        </w:rPr>
        <w:t>Zero-Hallucination Deterministic Guarantee: All descriptive tables, test statistics (F/t/χ²), p-values, and effect sizes (Cohen's d, η², r) were calculated directly from 'Clinical_Drug_Trial_Phase_II.csv' via SciPy, Statsmodels, and NumPy.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