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Access Approval Policy</w:t>
      </w:r>
    </w:p>
    <w:p>
      <w:r>
        <w:t>An access approval is valid for ten minutes and may be consumed once. A new approval is required for another action.</w:t>
      </w:r>
    </w:p>
    <w:p>
      <w:r>
        <w:t>Approvals are limited to a named destination. The policy does not specify an encryption algorithm.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Maximum export size</w:t>
            </w:r>
          </w:p>
        </w:tc>
      </w:tr>
      <w:tr>
        <w:tc>
          <w:tcPr>
            <w:tcW w:type="dxa" w:w="4320"/>
          </w:tcPr>
          <w:p>
            <w:r>
              <w:t>Approved data export</w:t>
            </w:r>
          </w:p>
        </w:tc>
        <w:tc>
          <w:tcPr>
            <w:tcW w:type="dxa" w:w="4320"/>
          </w:tcPr>
          <w:p>
            <w:r>
              <w:t>25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