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Session 8 Mini RAG Lab</w:t>
      </w:r>
    </w:p>
    <w:p>
      <w:pPr>
        <w:jc w:val="center"/>
      </w:pPr>
      <w:r>
        <w:rPr>
          <w:i/>
          <w:color w:val="666666"/>
          <w:sz w:val="23"/>
        </w:rPr>
        <w:t>30-minute classroom exercise for grounded retrieval, evidence checking, and error diagnosis</w:t>
      </w:r>
    </w:p>
    <w:p/>
    <w:p>
      <w:r>
        <w:rPr>
          <w:b/>
        </w:rPr>
        <w:t xml:space="preserve">Theme: </w:t>
      </w:r>
      <w:r>
        <w:t>Grounded retrieval, source authority, and error diagnosis</w:t>
      </w:r>
    </w:p>
    <w:p>
      <w:pPr>
        <w:pStyle w:val="Heading1"/>
      </w:pPr>
      <w:r>
        <w:t>Learning goal</w:t>
      </w:r>
    </w:p>
    <w:p>
      <w:r>
        <w:t>Students should not simply generate an answer. They should decide whether the answer is supported by the right source, whether a conflicting source exists, and what kind of retrieval failure is occurring.</w:t>
      </w:r>
    </w:p>
    <w:p>
      <w:pPr>
        <w:pStyle w:val="Heading1"/>
      </w:pPr>
      <w:r>
        <w:t>Required tools</w:t>
      </w:r>
    </w:p>
    <w:p>
      <w:pPr>
        <w:pStyle w:val="ListBullet"/>
      </w:pPr>
      <w:r>
        <w:t>NotebookLM — understand the corpus structure and source authority</w:t>
      </w:r>
    </w:p>
    <w:p>
      <w:pPr>
        <w:pStyle w:val="ListBullet"/>
      </w:pPr>
      <w:r>
        <w:t>Claude Code — run a lightweight retrieval workflow and inspect top-ranked results</w:t>
      </w:r>
    </w:p>
    <w:p>
      <w:pPr>
        <w:pStyle w:val="Heading1"/>
      </w:pPr>
      <w:r>
        <w:t>Scenario</w:t>
      </w:r>
    </w:p>
    <w:p>
      <w:r>
        <w:t>You are supporting a drone maintenance team that needs reliable answers about the AeroFleet X200 battery cooling subsystem. The corpus includes current manuals, archived manuals, service bulletins, safety procedures, incident reports, and potentially misleading informational notes.</w:t>
      </w:r>
    </w:p>
    <w:p>
      <w:pPr>
        <w:pStyle w:val="Heading1"/>
      </w:pPr>
      <w:r>
        <w:t>30-minute plan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t>Time</w:t>
            </w:r>
          </w:p>
        </w:tc>
        <w:tc>
          <w:tcPr>
            <w:tcW w:type="dxa" w:w="4968"/>
            <w:vAlign w:val="center"/>
            <w:shd w:fill="D9EAF7"/>
          </w:tcPr>
          <w:p>
            <w:r>
              <w:t>Task</w:t>
            </w:r>
          </w:p>
        </w:tc>
      </w:tr>
      <w:tr>
        <w:tc>
          <w:tcPr>
            <w:tcW w:type="dxa" w:w="4968"/>
            <w:vAlign w:val="center"/>
          </w:tcPr>
          <w:p>
            <w:r>
              <w:t>0–5 min</w:t>
            </w:r>
          </w:p>
        </w:tc>
        <w:tc>
          <w:tcPr>
            <w:tcW w:type="dxa" w:w="4968"/>
            <w:vAlign w:val="center"/>
          </w:tcPr>
          <w:p>
            <w:r>
              <w:t>Map the corpus and identify which documents are current authority.</w:t>
            </w:r>
          </w:p>
        </w:tc>
      </w:tr>
      <w:tr>
        <w:tc>
          <w:tcPr>
            <w:tcW w:type="dxa" w:w="4968"/>
            <w:vAlign w:val="center"/>
          </w:tcPr>
          <w:p>
            <w:r>
              <w:t>5–15 min</w:t>
            </w:r>
          </w:p>
        </w:tc>
        <w:tc>
          <w:tcPr>
            <w:tcW w:type="dxa" w:w="4968"/>
            <w:vAlign w:val="center"/>
          </w:tcPr>
          <w:p>
            <w:r>
              <w:t>Complete evidence-based answers for Q01, Q03, Q05, and Q08.</w:t>
            </w:r>
          </w:p>
        </w:tc>
      </w:tr>
      <w:tr>
        <w:tc>
          <w:tcPr>
            <w:tcW w:type="dxa" w:w="4968"/>
            <w:vAlign w:val="center"/>
          </w:tcPr>
          <w:p>
            <w:r>
              <w:t>15–25 min</w:t>
            </w:r>
          </w:p>
        </w:tc>
        <w:tc>
          <w:tcPr>
            <w:tcW w:type="dxa" w:w="4968"/>
            <w:vAlign w:val="center"/>
          </w:tcPr>
          <w:p>
            <w:r>
              <w:t>Run the starter notebook or script, inspect top-3 retrieval results for Q04, Q05, and Q10.</w:t>
            </w:r>
          </w:p>
        </w:tc>
      </w:tr>
      <w:tr>
        <w:tc>
          <w:tcPr>
            <w:tcW w:type="dxa" w:w="4968"/>
            <w:vAlign w:val="center"/>
          </w:tcPr>
          <w:p>
            <w:r>
              <w:t>25–30 min</w:t>
            </w:r>
          </w:p>
        </w:tc>
        <w:tc>
          <w:tcPr>
            <w:tcW w:type="dxa" w:w="4968"/>
            <w:vAlign w:val="center"/>
          </w:tcPr>
          <w:p>
            <w:r>
              <w:t>Write a short reflection and one improvement idea.</w:t>
            </w:r>
          </w:p>
        </w:tc>
      </w:tr>
    </w:tbl>
    <w:p/>
    <w:p>
      <w:pPr>
        <w:pStyle w:val="Heading1"/>
      </w:pPr>
      <w:r>
        <w:t>Required deliverables</w:t>
      </w:r>
    </w:p>
    <w:p>
      <w:pPr>
        <w:pStyle w:val="ListBullet"/>
      </w:pPr>
      <w:r>
        <w:t>Evidence table for Q01, Q03, Q05, and Q08: final answer, source doc ID, supporting evidence, confidence, and conflicting/misleading source if any.</w:t>
      </w:r>
    </w:p>
    <w:p>
      <w:pPr>
        <w:pStyle w:val="ListBullet"/>
      </w:pPr>
      <w:r>
        <w:t>Retrieval check for Q04, Q05, and Q10: top-3 retrieved documents plus a short note on what was correct or misleading.</w:t>
      </w:r>
    </w:p>
    <w:p>
      <w:pPr>
        <w:pStyle w:val="ListBullet"/>
      </w:pPr>
      <w:r>
        <w:t>Reflection (120–180 words): one convincing-but-wrong failure, one retrieval improvement, and why current authority matters in engineering RAG.</w:t>
      </w:r>
    </w:p>
    <w:p>
      <w:pPr>
        <w:pStyle w:val="Heading1"/>
      </w:pPr>
      <w:r>
        <w:t>What not to do</w:t>
      </w:r>
    </w:p>
    <w:p>
      <w:pPr>
        <w:pStyle w:val="ListBullet"/>
      </w:pPr>
      <w:r>
        <w:t>Do not submit a fluent answer without evidence.</w:t>
      </w:r>
    </w:p>
    <w:p>
      <w:pPr>
        <w:pStyle w:val="ListBullet"/>
      </w:pPr>
      <w:r>
        <w:t>Do not treat the longest or most technical document as automatically correct.</w:t>
      </w:r>
    </w:p>
    <w:p>
      <w:pPr>
        <w:pStyle w:val="ListBullet"/>
      </w:pPr>
      <w:r>
        <w:t>Do not ignore version status.</w:t>
      </w:r>
    </w:p>
    <w:p>
      <w:pPr>
        <w:pStyle w:val="ListBullet"/>
      </w:pPr>
      <w:r>
        <w:t>Do not paste the whole corpus into one giant prompt and stop there.</w:t>
      </w:r>
    </w:p>
    <w:p>
      <w:pPr>
        <w:pStyle w:val="Heading1"/>
      </w:pPr>
      <w:r>
        <w:t>Inspection checklist</w:t>
      </w:r>
    </w:p>
    <w:tbl>
      <w:tblPr>
        <w:tblStyle w:val="TableGrid"/>
        <w:tblW w:type="auto" w:w="0"/>
        <w:jc w:val="center"/>
        <w:tblLook w:firstColumn="1" w:firstRow="1" w:lastColumn="0" w:lastRow="0" w:noHBand="0" w:noVBand="1" w:val="04A0"/>
      </w:tblPr>
      <w:tblGrid>
        <w:gridCol w:w="4968"/>
        <w:gridCol w:w="4968"/>
      </w:tblGrid>
      <w:tr>
        <w:tc>
          <w:tcPr>
            <w:tcW w:type="dxa" w:w="4968"/>
            <w:shd w:fill="EAF4EA"/>
          </w:tcPr>
          <w:p>
            <w:r>
              <w:t>Question to ask yourself</w:t>
            </w:r>
          </w:p>
        </w:tc>
        <w:tc>
          <w:tcPr>
            <w:tcW w:type="dxa" w:w="4968"/>
            <w:shd w:fill="EAF4EA"/>
          </w:tcPr>
          <w:p>
            <w:r>
              <w:t>Yes / No</w:t>
            </w:r>
          </w:p>
        </w:tc>
      </w:tr>
      <w:tr>
        <w:tc>
          <w:tcPr>
            <w:tcW w:type="dxa" w:w="4968"/>
          </w:tcPr>
          <w:p>
            <w:r>
              <w:t>Is this source current and authoritative?</w:t>
            </w:r>
          </w:p>
        </w:tc>
        <w:tc>
          <w:tcPr>
            <w:tcW w:type="dxa" w:w="4968"/>
          </w:tcPr>
          <w:p>
            <w:r>
              <w:t>_____</w:t>
            </w:r>
          </w:p>
        </w:tc>
      </w:tr>
      <w:tr>
        <w:tc>
          <w:tcPr>
            <w:tcW w:type="dxa" w:w="4968"/>
          </w:tcPr>
          <w:p>
            <w:r>
              <w:t>Does this source directly answer the question?</w:t>
            </w:r>
          </w:p>
        </w:tc>
        <w:tc>
          <w:tcPr>
            <w:tcW w:type="dxa" w:w="4968"/>
          </w:tcPr>
          <w:p>
            <w:r>
              <w:t>_____</w:t>
            </w:r>
          </w:p>
        </w:tc>
      </w:tr>
      <w:tr>
        <w:tc>
          <w:tcPr>
            <w:tcW w:type="dxa" w:w="4968"/>
          </w:tcPr>
          <w:p>
            <w:r>
              <w:t>Is there a conflicting or misleading source?</w:t>
            </w:r>
          </w:p>
        </w:tc>
        <w:tc>
          <w:tcPr>
            <w:tcW w:type="dxa" w:w="4968"/>
          </w:tcPr>
          <w:p>
            <w:r>
              <w:t>_____</w:t>
            </w:r>
          </w:p>
        </w:tc>
      </w:tr>
      <w:tr>
        <w:tc>
          <w:tcPr>
            <w:tcW w:type="dxa" w:w="4968"/>
          </w:tcPr>
          <w:p>
            <w:r>
              <w:t>Does the query wording differ from the source wording?</w:t>
            </w:r>
          </w:p>
        </w:tc>
        <w:tc>
          <w:tcPr>
            <w:tcW w:type="dxa" w:w="4968"/>
          </w:tcPr>
          <w:p>
            <w:r>
              <w:t>_____</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等线"/>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等线"/>
      <w:b/>
      <w:bCs/>
      <w:color w:val="2F5D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等线"/>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