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DE2C4" w14:textId="77777777" w:rsidR="007A174F" w:rsidRPr="007A174F" w:rsidRDefault="007A174F" w:rsidP="007A174F">
      <w:r w:rsidRPr="007A174F">
        <w:rPr>
          <w:b/>
          <w:bCs/>
        </w:rPr>
        <w:t>Southern Motion Physiotherapy</w:t>
      </w:r>
      <w:r w:rsidRPr="007A174F">
        <w:br/>
      </w:r>
      <w:r w:rsidRPr="007A174F">
        <w:rPr>
          <w:b/>
          <w:bCs/>
        </w:rPr>
        <w:t>Risk Assessment Report</w:t>
      </w:r>
    </w:p>
    <w:p w14:paraId="3B215E35" w14:textId="77777777" w:rsidR="007A174F" w:rsidRPr="007A174F" w:rsidRDefault="007A174F" w:rsidP="007A174F">
      <w:r w:rsidRPr="007A174F">
        <w:pict w14:anchorId="66654EAA">
          <v:rect id="_x0000_i1154" style="width:0;height:1.5pt" o:hralign="center" o:hrstd="t" o:hr="t" fillcolor="#a0a0a0" stroked="f"/>
        </w:pict>
      </w:r>
    </w:p>
    <w:p w14:paraId="0A27EB67" w14:textId="77777777" w:rsidR="007A174F" w:rsidRPr="007A174F" w:rsidRDefault="007A174F" w:rsidP="007A174F">
      <w:pPr>
        <w:rPr>
          <w:b/>
          <w:bCs/>
        </w:rPr>
      </w:pPr>
      <w:r w:rsidRPr="007A174F">
        <w:rPr>
          <w:b/>
          <w:bCs/>
        </w:rPr>
        <w:t>1. Overview</w:t>
      </w:r>
    </w:p>
    <w:p w14:paraId="387E8138" w14:textId="77777777" w:rsidR="007A174F" w:rsidRPr="007A174F" w:rsidRDefault="007A174F" w:rsidP="007A174F">
      <w:r w:rsidRPr="007A174F">
        <w:t>This Risk Assessment Report identifies potential threats to Southern Motion Physiotherapy’s operations, evaluates their likelihood and impact, and outlines mitigation strategies. The goal is to proactively manage risks to protect patient data, ensure continuity of care, and maintain compliance with regulatory requirements.</w:t>
      </w:r>
    </w:p>
    <w:p w14:paraId="68302106" w14:textId="77777777" w:rsidR="007A174F" w:rsidRPr="007A174F" w:rsidRDefault="007A174F" w:rsidP="007A174F">
      <w:r w:rsidRPr="007A174F">
        <w:pict w14:anchorId="5787C52B">
          <v:rect id="_x0000_i1155" style="width:0;height:1.5pt" o:hralign="center" o:hrstd="t" o:hr="t" fillcolor="#a0a0a0" stroked="f"/>
        </w:pict>
      </w:r>
    </w:p>
    <w:p w14:paraId="196FE1A9" w14:textId="77777777" w:rsidR="007A174F" w:rsidRPr="007A174F" w:rsidRDefault="007A174F" w:rsidP="007A174F">
      <w:pPr>
        <w:rPr>
          <w:b/>
          <w:bCs/>
        </w:rPr>
      </w:pPr>
      <w:r w:rsidRPr="007A174F">
        <w:rPr>
          <w:b/>
          <w:bCs/>
        </w:rPr>
        <w:t>2. Risk Assessment Methodology</w:t>
      </w:r>
    </w:p>
    <w:p w14:paraId="7430DB3F" w14:textId="77777777" w:rsidR="007A174F" w:rsidRPr="007A174F" w:rsidRDefault="007A174F" w:rsidP="007A174F">
      <w:r w:rsidRPr="007A174F">
        <w:t>We use a qualitative risk assessment matrix that considers:</w:t>
      </w:r>
    </w:p>
    <w:p w14:paraId="1157EB56" w14:textId="77777777" w:rsidR="007A174F" w:rsidRPr="007A174F" w:rsidRDefault="007A174F" w:rsidP="007A174F">
      <w:pPr>
        <w:numPr>
          <w:ilvl w:val="0"/>
          <w:numId w:val="12"/>
        </w:numPr>
      </w:pPr>
      <w:r w:rsidRPr="007A174F">
        <w:rPr>
          <w:b/>
          <w:bCs/>
        </w:rPr>
        <w:t>Likelihood</w:t>
      </w:r>
      <w:r w:rsidRPr="007A174F">
        <w:t>: How probable it is the risk will occur (Low, Medium, High).</w:t>
      </w:r>
    </w:p>
    <w:p w14:paraId="74EC07FF" w14:textId="77777777" w:rsidR="007A174F" w:rsidRPr="007A174F" w:rsidRDefault="007A174F" w:rsidP="007A174F">
      <w:pPr>
        <w:numPr>
          <w:ilvl w:val="0"/>
          <w:numId w:val="12"/>
        </w:numPr>
      </w:pPr>
      <w:r w:rsidRPr="007A174F">
        <w:rPr>
          <w:b/>
          <w:bCs/>
        </w:rPr>
        <w:t>Impact</w:t>
      </w:r>
      <w:r w:rsidRPr="007A174F">
        <w:t>: The severity of consequences if the risk occurs (Low, Medium, High).</w:t>
      </w:r>
    </w:p>
    <w:p w14:paraId="1DFBC5F6" w14:textId="77777777" w:rsidR="007A174F" w:rsidRPr="007A174F" w:rsidRDefault="007A174F" w:rsidP="007A174F">
      <w:pPr>
        <w:numPr>
          <w:ilvl w:val="0"/>
          <w:numId w:val="12"/>
        </w:numPr>
      </w:pPr>
      <w:r w:rsidRPr="007A174F">
        <w:rPr>
          <w:b/>
          <w:bCs/>
        </w:rPr>
        <w:t>Risk Level</w:t>
      </w:r>
      <w:r w:rsidRPr="007A174F">
        <w:t>: A combination of likelihood and impact (Low, Medium, High).</w:t>
      </w:r>
    </w:p>
    <w:p w14:paraId="5EE63FD0" w14:textId="77777777" w:rsidR="007A174F" w:rsidRPr="007A174F" w:rsidRDefault="007A174F" w:rsidP="007A174F">
      <w:pPr>
        <w:numPr>
          <w:ilvl w:val="0"/>
          <w:numId w:val="12"/>
        </w:numPr>
      </w:pPr>
      <w:r w:rsidRPr="007A174F">
        <w:rPr>
          <w:b/>
          <w:bCs/>
        </w:rPr>
        <w:t>Mitigation</w:t>
      </w:r>
      <w:r w:rsidRPr="007A174F">
        <w:t>: Measures to reduce the likelihood or impact.</w:t>
      </w:r>
    </w:p>
    <w:p w14:paraId="422AF969" w14:textId="77777777" w:rsidR="007A174F" w:rsidRPr="007A174F" w:rsidRDefault="007A174F" w:rsidP="007A174F">
      <w:r w:rsidRPr="007A174F">
        <w:pict w14:anchorId="0EA3F4AA">
          <v:rect id="_x0000_i1156" style="width:0;height:1.5pt" o:hralign="center" o:hrstd="t" o:hr="t" fillcolor="#a0a0a0" stroked="f"/>
        </w:pict>
      </w:r>
    </w:p>
    <w:p w14:paraId="05AF0BBD" w14:textId="77777777" w:rsidR="007A174F" w:rsidRPr="007A174F" w:rsidRDefault="007A174F" w:rsidP="007A174F">
      <w:pPr>
        <w:rPr>
          <w:b/>
          <w:bCs/>
        </w:rPr>
      </w:pPr>
      <w:r w:rsidRPr="007A174F">
        <w:rPr>
          <w:b/>
          <w:bCs/>
        </w:rPr>
        <w:t>3. Risk Register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10"/>
        <w:gridCol w:w="2111"/>
        <w:gridCol w:w="1194"/>
        <w:gridCol w:w="907"/>
        <w:gridCol w:w="963"/>
        <w:gridCol w:w="3241"/>
      </w:tblGrid>
      <w:tr w:rsidR="007A174F" w:rsidRPr="007A174F" w14:paraId="24EAF988" w14:textId="77777777" w:rsidTr="007A174F">
        <w:trPr>
          <w:tblHeader/>
          <w:tblCellSpacing w:w="15" w:type="dxa"/>
        </w:trPr>
        <w:tc>
          <w:tcPr>
            <w:tcW w:w="0" w:type="auto"/>
            <w:vAlign w:val="center"/>
            <w:hideMark/>
          </w:tcPr>
          <w:p w14:paraId="2761F5ED" w14:textId="77777777" w:rsidR="007A174F" w:rsidRPr="007A174F" w:rsidRDefault="007A174F" w:rsidP="007A174F">
            <w:pPr>
              <w:rPr>
                <w:b/>
                <w:bCs/>
              </w:rPr>
            </w:pPr>
            <w:r w:rsidRPr="007A174F">
              <w:rPr>
                <w:b/>
                <w:bCs/>
              </w:rPr>
              <w:t>Risk ID</w:t>
            </w:r>
          </w:p>
        </w:tc>
        <w:tc>
          <w:tcPr>
            <w:tcW w:w="0" w:type="auto"/>
            <w:vAlign w:val="center"/>
            <w:hideMark/>
          </w:tcPr>
          <w:p w14:paraId="74245BA3" w14:textId="77777777" w:rsidR="007A174F" w:rsidRPr="007A174F" w:rsidRDefault="007A174F" w:rsidP="007A174F">
            <w:pPr>
              <w:rPr>
                <w:b/>
                <w:bCs/>
              </w:rPr>
            </w:pPr>
            <w:r w:rsidRPr="007A174F">
              <w:rPr>
                <w:b/>
                <w:bCs/>
              </w:rPr>
              <w:t>Risk Description</w:t>
            </w:r>
          </w:p>
        </w:tc>
        <w:tc>
          <w:tcPr>
            <w:tcW w:w="0" w:type="auto"/>
            <w:vAlign w:val="center"/>
            <w:hideMark/>
          </w:tcPr>
          <w:p w14:paraId="31DC748D" w14:textId="77777777" w:rsidR="007A174F" w:rsidRPr="007A174F" w:rsidRDefault="007A174F" w:rsidP="007A174F">
            <w:pPr>
              <w:rPr>
                <w:b/>
                <w:bCs/>
              </w:rPr>
            </w:pPr>
            <w:r w:rsidRPr="007A174F">
              <w:rPr>
                <w:b/>
                <w:bCs/>
              </w:rPr>
              <w:t>Likelihood</w:t>
            </w:r>
          </w:p>
        </w:tc>
        <w:tc>
          <w:tcPr>
            <w:tcW w:w="0" w:type="auto"/>
            <w:vAlign w:val="center"/>
            <w:hideMark/>
          </w:tcPr>
          <w:p w14:paraId="71701445" w14:textId="77777777" w:rsidR="007A174F" w:rsidRPr="007A174F" w:rsidRDefault="007A174F" w:rsidP="007A174F">
            <w:pPr>
              <w:rPr>
                <w:b/>
                <w:bCs/>
              </w:rPr>
            </w:pPr>
            <w:r w:rsidRPr="007A174F">
              <w:rPr>
                <w:b/>
                <w:bCs/>
              </w:rPr>
              <w:t>Impact</w:t>
            </w:r>
          </w:p>
        </w:tc>
        <w:tc>
          <w:tcPr>
            <w:tcW w:w="0" w:type="auto"/>
            <w:vAlign w:val="center"/>
            <w:hideMark/>
          </w:tcPr>
          <w:p w14:paraId="73C68D1B" w14:textId="77777777" w:rsidR="007A174F" w:rsidRPr="007A174F" w:rsidRDefault="007A174F" w:rsidP="007A174F">
            <w:pPr>
              <w:rPr>
                <w:b/>
                <w:bCs/>
              </w:rPr>
            </w:pPr>
            <w:r w:rsidRPr="007A174F">
              <w:rPr>
                <w:b/>
                <w:bCs/>
              </w:rPr>
              <w:t>Risk Level</w:t>
            </w:r>
          </w:p>
        </w:tc>
        <w:tc>
          <w:tcPr>
            <w:tcW w:w="0" w:type="auto"/>
            <w:vAlign w:val="center"/>
            <w:hideMark/>
          </w:tcPr>
          <w:p w14:paraId="23203055" w14:textId="77777777" w:rsidR="007A174F" w:rsidRPr="007A174F" w:rsidRDefault="007A174F" w:rsidP="007A174F">
            <w:pPr>
              <w:rPr>
                <w:b/>
                <w:bCs/>
              </w:rPr>
            </w:pPr>
            <w:r w:rsidRPr="007A174F">
              <w:rPr>
                <w:b/>
                <w:bCs/>
              </w:rPr>
              <w:t>Mitigation Strategy</w:t>
            </w:r>
          </w:p>
        </w:tc>
      </w:tr>
      <w:tr w:rsidR="007A174F" w:rsidRPr="007A174F" w14:paraId="2183A009" w14:textId="77777777" w:rsidTr="007A174F">
        <w:trPr>
          <w:tblCellSpacing w:w="15" w:type="dxa"/>
        </w:trPr>
        <w:tc>
          <w:tcPr>
            <w:tcW w:w="0" w:type="auto"/>
            <w:vAlign w:val="center"/>
            <w:hideMark/>
          </w:tcPr>
          <w:p w14:paraId="6573A946" w14:textId="77777777" w:rsidR="007A174F" w:rsidRPr="007A174F" w:rsidRDefault="007A174F" w:rsidP="007A174F">
            <w:r w:rsidRPr="007A174F">
              <w:t>R1</w:t>
            </w:r>
          </w:p>
        </w:tc>
        <w:tc>
          <w:tcPr>
            <w:tcW w:w="0" w:type="auto"/>
            <w:vAlign w:val="center"/>
            <w:hideMark/>
          </w:tcPr>
          <w:p w14:paraId="2131DE97" w14:textId="77777777" w:rsidR="007A174F" w:rsidRPr="007A174F" w:rsidRDefault="007A174F" w:rsidP="007A174F">
            <w:r w:rsidRPr="007A174F">
              <w:t>Ransomware attack</w:t>
            </w:r>
          </w:p>
        </w:tc>
        <w:tc>
          <w:tcPr>
            <w:tcW w:w="0" w:type="auto"/>
            <w:vAlign w:val="center"/>
            <w:hideMark/>
          </w:tcPr>
          <w:p w14:paraId="1134F983" w14:textId="77777777" w:rsidR="007A174F" w:rsidRPr="007A174F" w:rsidRDefault="007A174F" w:rsidP="007A174F">
            <w:r w:rsidRPr="007A174F">
              <w:t>Medium</w:t>
            </w:r>
          </w:p>
        </w:tc>
        <w:tc>
          <w:tcPr>
            <w:tcW w:w="0" w:type="auto"/>
            <w:vAlign w:val="center"/>
            <w:hideMark/>
          </w:tcPr>
          <w:p w14:paraId="3854C1F9" w14:textId="77777777" w:rsidR="007A174F" w:rsidRPr="007A174F" w:rsidRDefault="007A174F" w:rsidP="007A174F">
            <w:r w:rsidRPr="007A174F">
              <w:t>High</w:t>
            </w:r>
          </w:p>
        </w:tc>
        <w:tc>
          <w:tcPr>
            <w:tcW w:w="0" w:type="auto"/>
            <w:vAlign w:val="center"/>
            <w:hideMark/>
          </w:tcPr>
          <w:p w14:paraId="26A24DD1" w14:textId="77777777" w:rsidR="007A174F" w:rsidRPr="007A174F" w:rsidRDefault="007A174F" w:rsidP="007A174F">
            <w:r w:rsidRPr="007A174F">
              <w:t>High</w:t>
            </w:r>
          </w:p>
        </w:tc>
        <w:tc>
          <w:tcPr>
            <w:tcW w:w="0" w:type="auto"/>
            <w:vAlign w:val="center"/>
            <w:hideMark/>
          </w:tcPr>
          <w:p w14:paraId="3B901508" w14:textId="77777777" w:rsidR="007A174F" w:rsidRPr="007A174F" w:rsidRDefault="007A174F" w:rsidP="007A174F">
            <w:r w:rsidRPr="007A174F">
              <w:t>Regular data backups; staff phishing training; endpoint protection</w:t>
            </w:r>
          </w:p>
        </w:tc>
      </w:tr>
      <w:tr w:rsidR="007A174F" w:rsidRPr="007A174F" w14:paraId="0AA6C24D" w14:textId="77777777" w:rsidTr="007A174F">
        <w:trPr>
          <w:tblCellSpacing w:w="15" w:type="dxa"/>
        </w:trPr>
        <w:tc>
          <w:tcPr>
            <w:tcW w:w="0" w:type="auto"/>
            <w:vAlign w:val="center"/>
            <w:hideMark/>
          </w:tcPr>
          <w:p w14:paraId="519F41B9" w14:textId="77777777" w:rsidR="007A174F" w:rsidRPr="007A174F" w:rsidRDefault="007A174F" w:rsidP="007A174F">
            <w:r w:rsidRPr="007A174F">
              <w:t>R2</w:t>
            </w:r>
          </w:p>
        </w:tc>
        <w:tc>
          <w:tcPr>
            <w:tcW w:w="0" w:type="auto"/>
            <w:vAlign w:val="center"/>
            <w:hideMark/>
          </w:tcPr>
          <w:p w14:paraId="65A948D8" w14:textId="77777777" w:rsidR="007A174F" w:rsidRPr="007A174F" w:rsidRDefault="007A174F" w:rsidP="007A174F">
            <w:r w:rsidRPr="007A174F">
              <w:t>Loss of patient data due to system failure</w:t>
            </w:r>
          </w:p>
        </w:tc>
        <w:tc>
          <w:tcPr>
            <w:tcW w:w="0" w:type="auto"/>
            <w:vAlign w:val="center"/>
            <w:hideMark/>
          </w:tcPr>
          <w:p w14:paraId="2A5C833A" w14:textId="77777777" w:rsidR="007A174F" w:rsidRPr="007A174F" w:rsidRDefault="007A174F" w:rsidP="007A174F">
            <w:r w:rsidRPr="007A174F">
              <w:t>Medium</w:t>
            </w:r>
          </w:p>
        </w:tc>
        <w:tc>
          <w:tcPr>
            <w:tcW w:w="0" w:type="auto"/>
            <w:vAlign w:val="center"/>
            <w:hideMark/>
          </w:tcPr>
          <w:p w14:paraId="3A230C1B" w14:textId="77777777" w:rsidR="007A174F" w:rsidRPr="007A174F" w:rsidRDefault="007A174F" w:rsidP="007A174F">
            <w:r w:rsidRPr="007A174F">
              <w:t>High</w:t>
            </w:r>
          </w:p>
        </w:tc>
        <w:tc>
          <w:tcPr>
            <w:tcW w:w="0" w:type="auto"/>
            <w:vAlign w:val="center"/>
            <w:hideMark/>
          </w:tcPr>
          <w:p w14:paraId="6D943EF3" w14:textId="77777777" w:rsidR="007A174F" w:rsidRPr="007A174F" w:rsidRDefault="007A174F" w:rsidP="007A174F">
            <w:r w:rsidRPr="007A174F">
              <w:t>High</w:t>
            </w:r>
          </w:p>
        </w:tc>
        <w:tc>
          <w:tcPr>
            <w:tcW w:w="0" w:type="auto"/>
            <w:vAlign w:val="center"/>
            <w:hideMark/>
          </w:tcPr>
          <w:p w14:paraId="6B3FD3A1" w14:textId="77777777" w:rsidR="007A174F" w:rsidRPr="007A174F" w:rsidRDefault="007A174F" w:rsidP="007A174F">
            <w:r w:rsidRPr="007A174F">
              <w:t>Daily backups; backup testing; redundant systems</w:t>
            </w:r>
          </w:p>
        </w:tc>
      </w:tr>
      <w:tr w:rsidR="007A174F" w:rsidRPr="007A174F" w14:paraId="416D2B7D" w14:textId="77777777" w:rsidTr="007A174F">
        <w:trPr>
          <w:tblCellSpacing w:w="15" w:type="dxa"/>
        </w:trPr>
        <w:tc>
          <w:tcPr>
            <w:tcW w:w="0" w:type="auto"/>
            <w:vAlign w:val="center"/>
            <w:hideMark/>
          </w:tcPr>
          <w:p w14:paraId="3A78AC5C" w14:textId="77777777" w:rsidR="007A174F" w:rsidRPr="007A174F" w:rsidRDefault="007A174F" w:rsidP="007A174F">
            <w:r w:rsidRPr="007A174F">
              <w:t>R3</w:t>
            </w:r>
          </w:p>
        </w:tc>
        <w:tc>
          <w:tcPr>
            <w:tcW w:w="0" w:type="auto"/>
            <w:vAlign w:val="center"/>
            <w:hideMark/>
          </w:tcPr>
          <w:p w14:paraId="42791B97" w14:textId="77777777" w:rsidR="007A174F" w:rsidRPr="007A174F" w:rsidRDefault="007A174F" w:rsidP="007A174F">
            <w:r w:rsidRPr="007A174F">
              <w:t>Power outage</w:t>
            </w:r>
          </w:p>
        </w:tc>
        <w:tc>
          <w:tcPr>
            <w:tcW w:w="0" w:type="auto"/>
            <w:vAlign w:val="center"/>
            <w:hideMark/>
          </w:tcPr>
          <w:p w14:paraId="3B244559" w14:textId="77777777" w:rsidR="007A174F" w:rsidRPr="007A174F" w:rsidRDefault="007A174F" w:rsidP="007A174F">
            <w:r w:rsidRPr="007A174F">
              <w:t>High</w:t>
            </w:r>
          </w:p>
        </w:tc>
        <w:tc>
          <w:tcPr>
            <w:tcW w:w="0" w:type="auto"/>
            <w:vAlign w:val="center"/>
            <w:hideMark/>
          </w:tcPr>
          <w:p w14:paraId="79854AD5" w14:textId="77777777" w:rsidR="007A174F" w:rsidRPr="007A174F" w:rsidRDefault="007A174F" w:rsidP="007A174F">
            <w:r w:rsidRPr="007A174F">
              <w:t>Medium</w:t>
            </w:r>
          </w:p>
        </w:tc>
        <w:tc>
          <w:tcPr>
            <w:tcW w:w="0" w:type="auto"/>
            <w:vAlign w:val="center"/>
            <w:hideMark/>
          </w:tcPr>
          <w:p w14:paraId="0994D5FA" w14:textId="77777777" w:rsidR="007A174F" w:rsidRPr="007A174F" w:rsidRDefault="007A174F" w:rsidP="007A174F">
            <w:r w:rsidRPr="007A174F">
              <w:t>Medium</w:t>
            </w:r>
          </w:p>
        </w:tc>
        <w:tc>
          <w:tcPr>
            <w:tcW w:w="0" w:type="auto"/>
            <w:vAlign w:val="center"/>
            <w:hideMark/>
          </w:tcPr>
          <w:p w14:paraId="2DE19065" w14:textId="77777777" w:rsidR="007A174F" w:rsidRPr="007A174F" w:rsidRDefault="007A174F" w:rsidP="007A174F">
            <w:r w:rsidRPr="007A174F">
              <w:t>Uninterruptible Power Supply (UPS); backup site readiness</w:t>
            </w:r>
          </w:p>
        </w:tc>
      </w:tr>
      <w:tr w:rsidR="007A174F" w:rsidRPr="007A174F" w14:paraId="3084897A" w14:textId="77777777" w:rsidTr="007A174F">
        <w:trPr>
          <w:tblCellSpacing w:w="15" w:type="dxa"/>
        </w:trPr>
        <w:tc>
          <w:tcPr>
            <w:tcW w:w="0" w:type="auto"/>
            <w:vAlign w:val="center"/>
            <w:hideMark/>
          </w:tcPr>
          <w:p w14:paraId="142A281D" w14:textId="77777777" w:rsidR="007A174F" w:rsidRPr="007A174F" w:rsidRDefault="007A174F" w:rsidP="007A174F">
            <w:r w:rsidRPr="007A174F">
              <w:t>R4</w:t>
            </w:r>
          </w:p>
        </w:tc>
        <w:tc>
          <w:tcPr>
            <w:tcW w:w="0" w:type="auto"/>
            <w:vAlign w:val="center"/>
            <w:hideMark/>
          </w:tcPr>
          <w:p w14:paraId="3051A1E0" w14:textId="77777777" w:rsidR="007A174F" w:rsidRPr="007A174F" w:rsidRDefault="007A174F" w:rsidP="007A174F">
            <w:r w:rsidRPr="007A174F">
              <w:t>Unauthorised access to patient records</w:t>
            </w:r>
          </w:p>
        </w:tc>
        <w:tc>
          <w:tcPr>
            <w:tcW w:w="0" w:type="auto"/>
            <w:vAlign w:val="center"/>
            <w:hideMark/>
          </w:tcPr>
          <w:p w14:paraId="46BBD0D6" w14:textId="77777777" w:rsidR="007A174F" w:rsidRPr="007A174F" w:rsidRDefault="007A174F" w:rsidP="007A174F">
            <w:r w:rsidRPr="007A174F">
              <w:t>Medium</w:t>
            </w:r>
          </w:p>
        </w:tc>
        <w:tc>
          <w:tcPr>
            <w:tcW w:w="0" w:type="auto"/>
            <w:vAlign w:val="center"/>
            <w:hideMark/>
          </w:tcPr>
          <w:p w14:paraId="2E478001" w14:textId="77777777" w:rsidR="007A174F" w:rsidRPr="007A174F" w:rsidRDefault="007A174F" w:rsidP="007A174F">
            <w:r w:rsidRPr="007A174F">
              <w:t>High</w:t>
            </w:r>
          </w:p>
        </w:tc>
        <w:tc>
          <w:tcPr>
            <w:tcW w:w="0" w:type="auto"/>
            <w:vAlign w:val="center"/>
            <w:hideMark/>
          </w:tcPr>
          <w:p w14:paraId="08066D2D" w14:textId="77777777" w:rsidR="007A174F" w:rsidRPr="007A174F" w:rsidRDefault="007A174F" w:rsidP="007A174F">
            <w:r w:rsidRPr="007A174F">
              <w:t>High</w:t>
            </w:r>
          </w:p>
        </w:tc>
        <w:tc>
          <w:tcPr>
            <w:tcW w:w="0" w:type="auto"/>
            <w:vAlign w:val="center"/>
            <w:hideMark/>
          </w:tcPr>
          <w:p w14:paraId="7996FD68" w14:textId="77777777" w:rsidR="007A174F" w:rsidRPr="007A174F" w:rsidRDefault="007A174F" w:rsidP="007A174F">
            <w:r w:rsidRPr="007A174F">
              <w:t>MFA; access control policy; regular audits</w:t>
            </w:r>
          </w:p>
        </w:tc>
      </w:tr>
      <w:tr w:rsidR="007A174F" w:rsidRPr="007A174F" w14:paraId="1D1825D7" w14:textId="77777777" w:rsidTr="007A174F">
        <w:trPr>
          <w:tblCellSpacing w:w="15" w:type="dxa"/>
        </w:trPr>
        <w:tc>
          <w:tcPr>
            <w:tcW w:w="0" w:type="auto"/>
            <w:vAlign w:val="center"/>
            <w:hideMark/>
          </w:tcPr>
          <w:p w14:paraId="679AC930" w14:textId="77777777" w:rsidR="007A174F" w:rsidRPr="007A174F" w:rsidRDefault="007A174F" w:rsidP="007A174F">
            <w:r w:rsidRPr="007A174F">
              <w:lastRenderedPageBreak/>
              <w:t>R5</w:t>
            </w:r>
          </w:p>
        </w:tc>
        <w:tc>
          <w:tcPr>
            <w:tcW w:w="0" w:type="auto"/>
            <w:vAlign w:val="center"/>
            <w:hideMark/>
          </w:tcPr>
          <w:p w14:paraId="3825154C" w14:textId="77777777" w:rsidR="007A174F" w:rsidRPr="007A174F" w:rsidRDefault="007A174F" w:rsidP="007A174F">
            <w:r w:rsidRPr="007A174F">
              <w:t>Insider threat (malicious or accidental)</w:t>
            </w:r>
          </w:p>
        </w:tc>
        <w:tc>
          <w:tcPr>
            <w:tcW w:w="0" w:type="auto"/>
            <w:vAlign w:val="center"/>
            <w:hideMark/>
          </w:tcPr>
          <w:p w14:paraId="01AEDCCE" w14:textId="77777777" w:rsidR="007A174F" w:rsidRPr="007A174F" w:rsidRDefault="007A174F" w:rsidP="007A174F">
            <w:r w:rsidRPr="007A174F">
              <w:t>Low</w:t>
            </w:r>
          </w:p>
        </w:tc>
        <w:tc>
          <w:tcPr>
            <w:tcW w:w="0" w:type="auto"/>
            <w:vAlign w:val="center"/>
            <w:hideMark/>
          </w:tcPr>
          <w:p w14:paraId="2C59764C" w14:textId="77777777" w:rsidR="007A174F" w:rsidRPr="007A174F" w:rsidRDefault="007A174F" w:rsidP="007A174F">
            <w:r w:rsidRPr="007A174F">
              <w:t>High</w:t>
            </w:r>
          </w:p>
        </w:tc>
        <w:tc>
          <w:tcPr>
            <w:tcW w:w="0" w:type="auto"/>
            <w:vAlign w:val="center"/>
            <w:hideMark/>
          </w:tcPr>
          <w:p w14:paraId="7F1C0292" w14:textId="77777777" w:rsidR="007A174F" w:rsidRPr="007A174F" w:rsidRDefault="007A174F" w:rsidP="007A174F">
            <w:r w:rsidRPr="007A174F">
              <w:t>Medium</w:t>
            </w:r>
          </w:p>
        </w:tc>
        <w:tc>
          <w:tcPr>
            <w:tcW w:w="0" w:type="auto"/>
            <w:vAlign w:val="center"/>
            <w:hideMark/>
          </w:tcPr>
          <w:p w14:paraId="709B9E63" w14:textId="77777777" w:rsidR="007A174F" w:rsidRPr="007A174F" w:rsidRDefault="007A174F" w:rsidP="007A174F">
            <w:r w:rsidRPr="007A174F">
              <w:t>Staff training; strict user permissions; activity logging</w:t>
            </w:r>
          </w:p>
        </w:tc>
      </w:tr>
      <w:tr w:rsidR="007A174F" w:rsidRPr="007A174F" w14:paraId="4E202734" w14:textId="77777777" w:rsidTr="007A174F">
        <w:trPr>
          <w:tblCellSpacing w:w="15" w:type="dxa"/>
        </w:trPr>
        <w:tc>
          <w:tcPr>
            <w:tcW w:w="0" w:type="auto"/>
            <w:vAlign w:val="center"/>
            <w:hideMark/>
          </w:tcPr>
          <w:p w14:paraId="427075E8" w14:textId="77777777" w:rsidR="007A174F" w:rsidRPr="007A174F" w:rsidRDefault="007A174F" w:rsidP="007A174F">
            <w:r w:rsidRPr="007A174F">
              <w:t>R6</w:t>
            </w:r>
          </w:p>
        </w:tc>
        <w:tc>
          <w:tcPr>
            <w:tcW w:w="0" w:type="auto"/>
            <w:vAlign w:val="center"/>
            <w:hideMark/>
          </w:tcPr>
          <w:p w14:paraId="6F682616" w14:textId="77777777" w:rsidR="007A174F" w:rsidRPr="007A174F" w:rsidRDefault="007A174F" w:rsidP="007A174F">
            <w:r w:rsidRPr="007A174F">
              <w:t>Fire or physical damage to clinic</w:t>
            </w:r>
          </w:p>
        </w:tc>
        <w:tc>
          <w:tcPr>
            <w:tcW w:w="0" w:type="auto"/>
            <w:vAlign w:val="center"/>
            <w:hideMark/>
          </w:tcPr>
          <w:p w14:paraId="098A0DE9" w14:textId="77777777" w:rsidR="007A174F" w:rsidRPr="007A174F" w:rsidRDefault="007A174F" w:rsidP="007A174F">
            <w:r w:rsidRPr="007A174F">
              <w:t>Low</w:t>
            </w:r>
          </w:p>
        </w:tc>
        <w:tc>
          <w:tcPr>
            <w:tcW w:w="0" w:type="auto"/>
            <w:vAlign w:val="center"/>
            <w:hideMark/>
          </w:tcPr>
          <w:p w14:paraId="10445720" w14:textId="77777777" w:rsidR="007A174F" w:rsidRPr="007A174F" w:rsidRDefault="007A174F" w:rsidP="007A174F">
            <w:r w:rsidRPr="007A174F">
              <w:t>High</w:t>
            </w:r>
          </w:p>
        </w:tc>
        <w:tc>
          <w:tcPr>
            <w:tcW w:w="0" w:type="auto"/>
            <w:vAlign w:val="center"/>
            <w:hideMark/>
          </w:tcPr>
          <w:p w14:paraId="28CF11EF" w14:textId="77777777" w:rsidR="007A174F" w:rsidRPr="007A174F" w:rsidRDefault="007A174F" w:rsidP="007A174F">
            <w:r w:rsidRPr="007A174F">
              <w:t>Medium</w:t>
            </w:r>
          </w:p>
        </w:tc>
        <w:tc>
          <w:tcPr>
            <w:tcW w:w="0" w:type="auto"/>
            <w:vAlign w:val="center"/>
            <w:hideMark/>
          </w:tcPr>
          <w:p w14:paraId="2AEFD737" w14:textId="77777777" w:rsidR="007A174F" w:rsidRPr="007A174F" w:rsidRDefault="007A174F" w:rsidP="007A174F">
            <w:r w:rsidRPr="007A174F">
              <w:t>Insurance; offsite backups; alternate work location</w:t>
            </w:r>
          </w:p>
        </w:tc>
      </w:tr>
      <w:tr w:rsidR="007A174F" w:rsidRPr="007A174F" w14:paraId="4AC5738D" w14:textId="77777777" w:rsidTr="007A174F">
        <w:trPr>
          <w:tblCellSpacing w:w="15" w:type="dxa"/>
        </w:trPr>
        <w:tc>
          <w:tcPr>
            <w:tcW w:w="0" w:type="auto"/>
            <w:vAlign w:val="center"/>
            <w:hideMark/>
          </w:tcPr>
          <w:p w14:paraId="428CE802" w14:textId="77777777" w:rsidR="007A174F" w:rsidRPr="007A174F" w:rsidRDefault="007A174F" w:rsidP="007A174F">
            <w:r w:rsidRPr="007A174F">
              <w:t>R7</w:t>
            </w:r>
          </w:p>
        </w:tc>
        <w:tc>
          <w:tcPr>
            <w:tcW w:w="0" w:type="auto"/>
            <w:vAlign w:val="center"/>
            <w:hideMark/>
          </w:tcPr>
          <w:p w14:paraId="32AD60B4" w14:textId="77777777" w:rsidR="007A174F" w:rsidRPr="007A174F" w:rsidRDefault="007A174F" w:rsidP="007A174F">
            <w:r w:rsidRPr="007A174F">
              <w:t>Non-compliance with privacy regulations</w:t>
            </w:r>
          </w:p>
        </w:tc>
        <w:tc>
          <w:tcPr>
            <w:tcW w:w="0" w:type="auto"/>
            <w:vAlign w:val="center"/>
            <w:hideMark/>
          </w:tcPr>
          <w:p w14:paraId="4063BA46" w14:textId="77777777" w:rsidR="007A174F" w:rsidRPr="007A174F" w:rsidRDefault="007A174F" w:rsidP="007A174F">
            <w:r w:rsidRPr="007A174F">
              <w:t>Medium</w:t>
            </w:r>
          </w:p>
        </w:tc>
        <w:tc>
          <w:tcPr>
            <w:tcW w:w="0" w:type="auto"/>
            <w:vAlign w:val="center"/>
            <w:hideMark/>
          </w:tcPr>
          <w:p w14:paraId="4CEDE3F3" w14:textId="77777777" w:rsidR="007A174F" w:rsidRPr="007A174F" w:rsidRDefault="007A174F" w:rsidP="007A174F">
            <w:r w:rsidRPr="007A174F">
              <w:t>High</w:t>
            </w:r>
          </w:p>
        </w:tc>
        <w:tc>
          <w:tcPr>
            <w:tcW w:w="0" w:type="auto"/>
            <w:vAlign w:val="center"/>
            <w:hideMark/>
          </w:tcPr>
          <w:p w14:paraId="5D4EB6EB" w14:textId="77777777" w:rsidR="007A174F" w:rsidRPr="007A174F" w:rsidRDefault="007A174F" w:rsidP="007A174F">
            <w:r w:rsidRPr="007A174F">
              <w:t>High</w:t>
            </w:r>
          </w:p>
        </w:tc>
        <w:tc>
          <w:tcPr>
            <w:tcW w:w="0" w:type="auto"/>
            <w:vAlign w:val="center"/>
            <w:hideMark/>
          </w:tcPr>
          <w:p w14:paraId="2FCC46D0" w14:textId="77777777" w:rsidR="007A174F" w:rsidRPr="007A174F" w:rsidRDefault="007A174F" w:rsidP="007A174F">
            <w:r w:rsidRPr="007A174F">
              <w:t>Regular privacy training; compliance checks; privacy officer oversight</w:t>
            </w:r>
          </w:p>
        </w:tc>
      </w:tr>
      <w:tr w:rsidR="007A174F" w:rsidRPr="007A174F" w14:paraId="335EC7B4" w14:textId="77777777" w:rsidTr="007A174F">
        <w:trPr>
          <w:tblCellSpacing w:w="15" w:type="dxa"/>
        </w:trPr>
        <w:tc>
          <w:tcPr>
            <w:tcW w:w="0" w:type="auto"/>
            <w:vAlign w:val="center"/>
            <w:hideMark/>
          </w:tcPr>
          <w:p w14:paraId="13EEC7D6" w14:textId="77777777" w:rsidR="007A174F" w:rsidRPr="007A174F" w:rsidRDefault="007A174F" w:rsidP="007A174F">
            <w:r w:rsidRPr="007A174F">
              <w:t>R8</w:t>
            </w:r>
          </w:p>
        </w:tc>
        <w:tc>
          <w:tcPr>
            <w:tcW w:w="0" w:type="auto"/>
            <w:vAlign w:val="center"/>
            <w:hideMark/>
          </w:tcPr>
          <w:p w14:paraId="4A750787" w14:textId="77777777" w:rsidR="007A174F" w:rsidRPr="007A174F" w:rsidRDefault="007A174F" w:rsidP="007A174F">
            <w:r w:rsidRPr="007A174F">
              <w:t>IT vendor failure</w:t>
            </w:r>
          </w:p>
        </w:tc>
        <w:tc>
          <w:tcPr>
            <w:tcW w:w="0" w:type="auto"/>
            <w:vAlign w:val="center"/>
            <w:hideMark/>
          </w:tcPr>
          <w:p w14:paraId="06AE9505" w14:textId="77777777" w:rsidR="007A174F" w:rsidRPr="007A174F" w:rsidRDefault="007A174F" w:rsidP="007A174F">
            <w:r w:rsidRPr="007A174F">
              <w:t>Medium</w:t>
            </w:r>
          </w:p>
        </w:tc>
        <w:tc>
          <w:tcPr>
            <w:tcW w:w="0" w:type="auto"/>
            <w:vAlign w:val="center"/>
            <w:hideMark/>
          </w:tcPr>
          <w:p w14:paraId="7297A586" w14:textId="77777777" w:rsidR="007A174F" w:rsidRPr="007A174F" w:rsidRDefault="007A174F" w:rsidP="007A174F">
            <w:r w:rsidRPr="007A174F">
              <w:t>Medium</w:t>
            </w:r>
          </w:p>
        </w:tc>
        <w:tc>
          <w:tcPr>
            <w:tcW w:w="0" w:type="auto"/>
            <w:vAlign w:val="center"/>
            <w:hideMark/>
          </w:tcPr>
          <w:p w14:paraId="3EB5F52C" w14:textId="77777777" w:rsidR="007A174F" w:rsidRPr="007A174F" w:rsidRDefault="007A174F" w:rsidP="007A174F">
            <w:r w:rsidRPr="007A174F">
              <w:t>Medium</w:t>
            </w:r>
          </w:p>
        </w:tc>
        <w:tc>
          <w:tcPr>
            <w:tcW w:w="0" w:type="auto"/>
            <w:vAlign w:val="center"/>
            <w:hideMark/>
          </w:tcPr>
          <w:p w14:paraId="658B7D9C" w14:textId="77777777" w:rsidR="007A174F" w:rsidRPr="007A174F" w:rsidRDefault="007A174F" w:rsidP="007A174F">
            <w:r w:rsidRPr="007A174F">
              <w:t>Service Level Agreements (SLAs); alternative vendor options; regular vendor reviews</w:t>
            </w:r>
          </w:p>
        </w:tc>
      </w:tr>
    </w:tbl>
    <w:p w14:paraId="445BABF2" w14:textId="77777777" w:rsidR="007A174F" w:rsidRDefault="007A174F" w:rsidP="007A174F">
      <w:pPr>
        <w:rPr>
          <w:b/>
          <w:bCs/>
        </w:rPr>
      </w:pPr>
    </w:p>
    <w:p w14:paraId="371C4A01" w14:textId="10CDDB1D" w:rsidR="007A174F" w:rsidRPr="007A174F" w:rsidRDefault="007A174F" w:rsidP="007A174F">
      <w:pPr>
        <w:rPr>
          <w:b/>
          <w:bCs/>
        </w:rPr>
      </w:pPr>
      <w:r w:rsidRPr="007A174F">
        <w:rPr>
          <w:b/>
          <w:bCs/>
        </w:rPr>
        <w:t>5. Recommendations</w:t>
      </w:r>
    </w:p>
    <w:p w14:paraId="534FDF5B" w14:textId="77777777" w:rsidR="007A174F" w:rsidRPr="007A174F" w:rsidRDefault="007A174F" w:rsidP="007A174F">
      <w:pPr>
        <w:numPr>
          <w:ilvl w:val="0"/>
          <w:numId w:val="13"/>
        </w:numPr>
      </w:pPr>
      <w:r w:rsidRPr="007A174F">
        <w:t>Conduct monthly audits on access control logs.</w:t>
      </w:r>
    </w:p>
    <w:p w14:paraId="3A387B7A" w14:textId="77777777" w:rsidR="007A174F" w:rsidRPr="007A174F" w:rsidRDefault="007A174F" w:rsidP="007A174F">
      <w:pPr>
        <w:numPr>
          <w:ilvl w:val="0"/>
          <w:numId w:val="13"/>
        </w:numPr>
      </w:pPr>
      <w:r w:rsidRPr="007A174F">
        <w:t>Review and test backup systems quarterly.</w:t>
      </w:r>
    </w:p>
    <w:p w14:paraId="23E5D3DC" w14:textId="77777777" w:rsidR="007A174F" w:rsidRPr="007A174F" w:rsidRDefault="007A174F" w:rsidP="007A174F">
      <w:pPr>
        <w:numPr>
          <w:ilvl w:val="0"/>
          <w:numId w:val="13"/>
        </w:numPr>
      </w:pPr>
      <w:r w:rsidRPr="007A174F">
        <w:t>Update the acceptable use policy to address emerging threats.</w:t>
      </w:r>
    </w:p>
    <w:p w14:paraId="42FD5EE9" w14:textId="77777777" w:rsidR="007A174F" w:rsidRPr="007A174F" w:rsidRDefault="007A174F" w:rsidP="007A174F">
      <w:pPr>
        <w:numPr>
          <w:ilvl w:val="0"/>
          <w:numId w:val="13"/>
        </w:numPr>
      </w:pPr>
      <w:r w:rsidRPr="007A174F">
        <w:t>Evaluate cyber insurance coverage annually.</w:t>
      </w:r>
    </w:p>
    <w:p w14:paraId="0D2EEF22" w14:textId="77777777" w:rsidR="007A174F" w:rsidRPr="007A174F" w:rsidRDefault="007A174F" w:rsidP="007A174F">
      <w:pPr>
        <w:numPr>
          <w:ilvl w:val="0"/>
          <w:numId w:val="13"/>
        </w:numPr>
      </w:pPr>
      <w:r w:rsidRPr="007A174F">
        <w:t>Introduce phishing simulation training quarterly.</w:t>
      </w:r>
    </w:p>
    <w:p w14:paraId="5C98A0B3" w14:textId="77777777" w:rsidR="007A174F" w:rsidRPr="007A174F" w:rsidRDefault="007A174F" w:rsidP="007A174F">
      <w:pPr>
        <w:numPr>
          <w:ilvl w:val="0"/>
          <w:numId w:val="13"/>
        </w:numPr>
      </w:pPr>
      <w:r w:rsidRPr="007A174F">
        <w:t>Review vendor contracts to ensure disaster recovery obligations are included.</w:t>
      </w:r>
    </w:p>
    <w:p w14:paraId="1B0C2637" w14:textId="77777777" w:rsidR="007A174F" w:rsidRDefault="007A174F"/>
    <w:sectPr w:rsidR="007A17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E142B"/>
    <w:multiLevelType w:val="multilevel"/>
    <w:tmpl w:val="B6BA8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86112"/>
    <w:multiLevelType w:val="multilevel"/>
    <w:tmpl w:val="78D8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62B77"/>
    <w:multiLevelType w:val="multilevel"/>
    <w:tmpl w:val="4E3C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A741E"/>
    <w:multiLevelType w:val="multilevel"/>
    <w:tmpl w:val="DDA2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C21F0E"/>
    <w:multiLevelType w:val="multilevel"/>
    <w:tmpl w:val="01F4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95940"/>
    <w:multiLevelType w:val="multilevel"/>
    <w:tmpl w:val="7B9E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772C7"/>
    <w:multiLevelType w:val="multilevel"/>
    <w:tmpl w:val="0404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E1D3D"/>
    <w:multiLevelType w:val="multilevel"/>
    <w:tmpl w:val="C95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877F9"/>
    <w:multiLevelType w:val="multilevel"/>
    <w:tmpl w:val="C1AA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317DE8"/>
    <w:multiLevelType w:val="multilevel"/>
    <w:tmpl w:val="E21C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06172"/>
    <w:multiLevelType w:val="multilevel"/>
    <w:tmpl w:val="51F49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15EC2"/>
    <w:multiLevelType w:val="multilevel"/>
    <w:tmpl w:val="1D34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155793"/>
    <w:multiLevelType w:val="multilevel"/>
    <w:tmpl w:val="BC3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8332399">
    <w:abstractNumId w:val="11"/>
  </w:num>
  <w:num w:numId="2" w16cid:durableId="1874994675">
    <w:abstractNumId w:val="10"/>
  </w:num>
  <w:num w:numId="3" w16cid:durableId="535116253">
    <w:abstractNumId w:val="1"/>
  </w:num>
  <w:num w:numId="4" w16cid:durableId="54815759">
    <w:abstractNumId w:val="2"/>
  </w:num>
  <w:num w:numId="5" w16cid:durableId="1352341151">
    <w:abstractNumId w:val="9"/>
  </w:num>
  <w:num w:numId="6" w16cid:durableId="1865945842">
    <w:abstractNumId w:val="7"/>
  </w:num>
  <w:num w:numId="7" w16cid:durableId="1253277015">
    <w:abstractNumId w:val="4"/>
  </w:num>
  <w:num w:numId="8" w16cid:durableId="230044338">
    <w:abstractNumId w:val="8"/>
  </w:num>
  <w:num w:numId="9" w16cid:durableId="1951358443">
    <w:abstractNumId w:val="0"/>
  </w:num>
  <w:num w:numId="10" w16cid:durableId="716901710">
    <w:abstractNumId w:val="5"/>
  </w:num>
  <w:num w:numId="11" w16cid:durableId="1470592722">
    <w:abstractNumId w:val="6"/>
  </w:num>
  <w:num w:numId="12" w16cid:durableId="591931348">
    <w:abstractNumId w:val="3"/>
  </w:num>
  <w:num w:numId="13" w16cid:durableId="1586932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4F"/>
    <w:rsid w:val="007A174F"/>
    <w:rsid w:val="00A479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90FC7"/>
  <w15:chartTrackingRefBased/>
  <w15:docId w15:val="{8D33F407-D283-4597-B23A-1E9806DB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1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1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17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17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17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17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17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17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17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7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17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17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17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17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17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17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17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174F"/>
    <w:rPr>
      <w:rFonts w:eastAsiaTheme="majorEastAsia" w:cstheme="majorBidi"/>
      <w:color w:val="272727" w:themeColor="text1" w:themeTint="D8"/>
    </w:rPr>
  </w:style>
  <w:style w:type="paragraph" w:styleId="Title">
    <w:name w:val="Title"/>
    <w:basedOn w:val="Normal"/>
    <w:next w:val="Normal"/>
    <w:link w:val="TitleChar"/>
    <w:uiPriority w:val="10"/>
    <w:qFormat/>
    <w:rsid w:val="007A1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7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17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17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174F"/>
    <w:pPr>
      <w:spacing w:before="160"/>
      <w:jc w:val="center"/>
    </w:pPr>
    <w:rPr>
      <w:i/>
      <w:iCs/>
      <w:color w:val="404040" w:themeColor="text1" w:themeTint="BF"/>
    </w:rPr>
  </w:style>
  <w:style w:type="character" w:customStyle="1" w:styleId="QuoteChar">
    <w:name w:val="Quote Char"/>
    <w:basedOn w:val="DefaultParagraphFont"/>
    <w:link w:val="Quote"/>
    <w:uiPriority w:val="29"/>
    <w:rsid w:val="007A174F"/>
    <w:rPr>
      <w:i/>
      <w:iCs/>
      <w:color w:val="404040" w:themeColor="text1" w:themeTint="BF"/>
    </w:rPr>
  </w:style>
  <w:style w:type="paragraph" w:styleId="ListParagraph">
    <w:name w:val="List Paragraph"/>
    <w:basedOn w:val="Normal"/>
    <w:uiPriority w:val="34"/>
    <w:qFormat/>
    <w:rsid w:val="007A174F"/>
    <w:pPr>
      <w:ind w:left="720"/>
      <w:contextualSpacing/>
    </w:pPr>
  </w:style>
  <w:style w:type="character" w:styleId="IntenseEmphasis">
    <w:name w:val="Intense Emphasis"/>
    <w:basedOn w:val="DefaultParagraphFont"/>
    <w:uiPriority w:val="21"/>
    <w:qFormat/>
    <w:rsid w:val="007A174F"/>
    <w:rPr>
      <w:i/>
      <w:iCs/>
      <w:color w:val="0F4761" w:themeColor="accent1" w:themeShade="BF"/>
    </w:rPr>
  </w:style>
  <w:style w:type="paragraph" w:styleId="IntenseQuote">
    <w:name w:val="Intense Quote"/>
    <w:basedOn w:val="Normal"/>
    <w:next w:val="Normal"/>
    <w:link w:val="IntenseQuoteChar"/>
    <w:uiPriority w:val="30"/>
    <w:qFormat/>
    <w:rsid w:val="007A1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174F"/>
    <w:rPr>
      <w:i/>
      <w:iCs/>
      <w:color w:val="0F4761" w:themeColor="accent1" w:themeShade="BF"/>
    </w:rPr>
  </w:style>
  <w:style w:type="character" w:styleId="IntenseReference">
    <w:name w:val="Intense Reference"/>
    <w:basedOn w:val="DefaultParagraphFont"/>
    <w:uiPriority w:val="32"/>
    <w:qFormat/>
    <w:rsid w:val="007A1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2117">
      <w:bodyDiv w:val="1"/>
      <w:marLeft w:val="0"/>
      <w:marRight w:val="0"/>
      <w:marTop w:val="0"/>
      <w:marBottom w:val="0"/>
      <w:divBdr>
        <w:top w:val="none" w:sz="0" w:space="0" w:color="auto"/>
        <w:left w:val="none" w:sz="0" w:space="0" w:color="auto"/>
        <w:bottom w:val="none" w:sz="0" w:space="0" w:color="auto"/>
        <w:right w:val="none" w:sz="0" w:space="0" w:color="auto"/>
      </w:divBdr>
    </w:div>
    <w:div w:id="151070325">
      <w:bodyDiv w:val="1"/>
      <w:marLeft w:val="0"/>
      <w:marRight w:val="0"/>
      <w:marTop w:val="0"/>
      <w:marBottom w:val="0"/>
      <w:divBdr>
        <w:top w:val="none" w:sz="0" w:space="0" w:color="auto"/>
        <w:left w:val="none" w:sz="0" w:space="0" w:color="auto"/>
        <w:bottom w:val="none" w:sz="0" w:space="0" w:color="auto"/>
        <w:right w:val="none" w:sz="0" w:space="0" w:color="auto"/>
      </w:divBdr>
    </w:div>
    <w:div w:id="664163907">
      <w:bodyDiv w:val="1"/>
      <w:marLeft w:val="0"/>
      <w:marRight w:val="0"/>
      <w:marTop w:val="0"/>
      <w:marBottom w:val="0"/>
      <w:divBdr>
        <w:top w:val="none" w:sz="0" w:space="0" w:color="auto"/>
        <w:left w:val="none" w:sz="0" w:space="0" w:color="auto"/>
        <w:bottom w:val="none" w:sz="0" w:space="0" w:color="auto"/>
        <w:right w:val="none" w:sz="0" w:space="0" w:color="auto"/>
      </w:divBdr>
      <w:divsChild>
        <w:div w:id="543257285">
          <w:marLeft w:val="0"/>
          <w:marRight w:val="0"/>
          <w:marTop w:val="0"/>
          <w:marBottom w:val="0"/>
          <w:divBdr>
            <w:top w:val="none" w:sz="0" w:space="0" w:color="auto"/>
            <w:left w:val="none" w:sz="0" w:space="0" w:color="auto"/>
            <w:bottom w:val="none" w:sz="0" w:space="0" w:color="auto"/>
            <w:right w:val="none" w:sz="0" w:space="0" w:color="auto"/>
          </w:divBdr>
          <w:divsChild>
            <w:div w:id="27298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19701">
      <w:bodyDiv w:val="1"/>
      <w:marLeft w:val="0"/>
      <w:marRight w:val="0"/>
      <w:marTop w:val="0"/>
      <w:marBottom w:val="0"/>
      <w:divBdr>
        <w:top w:val="none" w:sz="0" w:space="0" w:color="auto"/>
        <w:left w:val="none" w:sz="0" w:space="0" w:color="auto"/>
        <w:bottom w:val="none" w:sz="0" w:space="0" w:color="auto"/>
        <w:right w:val="none" w:sz="0" w:space="0" w:color="auto"/>
      </w:divBdr>
    </w:div>
    <w:div w:id="1882940908">
      <w:bodyDiv w:val="1"/>
      <w:marLeft w:val="0"/>
      <w:marRight w:val="0"/>
      <w:marTop w:val="0"/>
      <w:marBottom w:val="0"/>
      <w:divBdr>
        <w:top w:val="none" w:sz="0" w:space="0" w:color="auto"/>
        <w:left w:val="none" w:sz="0" w:space="0" w:color="auto"/>
        <w:bottom w:val="none" w:sz="0" w:space="0" w:color="auto"/>
        <w:right w:val="none" w:sz="0" w:space="0" w:color="auto"/>
      </w:divBdr>
      <w:divsChild>
        <w:div w:id="1427460198">
          <w:marLeft w:val="0"/>
          <w:marRight w:val="0"/>
          <w:marTop w:val="0"/>
          <w:marBottom w:val="0"/>
          <w:divBdr>
            <w:top w:val="none" w:sz="0" w:space="0" w:color="auto"/>
            <w:left w:val="none" w:sz="0" w:space="0" w:color="auto"/>
            <w:bottom w:val="none" w:sz="0" w:space="0" w:color="auto"/>
            <w:right w:val="none" w:sz="0" w:space="0" w:color="auto"/>
          </w:divBdr>
          <w:divsChild>
            <w:div w:id="18085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9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 Saysana</dc:creator>
  <cp:keywords/>
  <dc:description/>
  <cp:lastModifiedBy>Amon Saysana</cp:lastModifiedBy>
  <cp:revision>1</cp:revision>
  <dcterms:created xsi:type="dcterms:W3CDTF">2025-05-19T06:54:00Z</dcterms:created>
  <dcterms:modified xsi:type="dcterms:W3CDTF">2025-05-19T06:58:00Z</dcterms:modified>
</cp:coreProperties>
</file>